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A142CF" w14:textId="4497D91C" w:rsidR="001A0343" w:rsidRPr="006528B6" w:rsidRDefault="001A0343" w:rsidP="00213BAD">
      <w:pPr>
        <w:spacing w:after="0" w:line="240" w:lineRule="auto"/>
        <w:rPr>
          <w:rFonts w:ascii="Times New Roman" w:hAnsi="Times New Roman"/>
          <w:b/>
          <w:sz w:val="24"/>
          <w:szCs w:val="24"/>
        </w:rPr>
      </w:pPr>
      <w:r w:rsidRPr="006528B6">
        <w:rPr>
          <w:rFonts w:ascii="Times New Roman" w:hAnsi="Times New Roman"/>
          <w:b/>
          <w:sz w:val="24"/>
          <w:szCs w:val="24"/>
        </w:rPr>
        <w:t>I</w:t>
      </w:r>
      <w:r w:rsidR="007B070E" w:rsidRPr="006528B6">
        <w:rPr>
          <w:rFonts w:ascii="Times New Roman" w:hAnsi="Times New Roman"/>
          <w:b/>
          <w:sz w:val="24"/>
          <w:szCs w:val="24"/>
        </w:rPr>
        <w:t>II.</w:t>
      </w:r>
      <w:r w:rsidR="005B0132" w:rsidRPr="006528B6">
        <w:rPr>
          <w:rFonts w:ascii="Times New Roman" w:hAnsi="Times New Roman"/>
          <w:b/>
          <w:sz w:val="24"/>
          <w:szCs w:val="24"/>
        </w:rPr>
        <w:t>6</w:t>
      </w:r>
      <w:r w:rsidR="004A2459" w:rsidRPr="006528B6">
        <w:rPr>
          <w:rFonts w:ascii="Times New Roman" w:hAnsi="Times New Roman"/>
          <w:b/>
          <w:sz w:val="24"/>
          <w:szCs w:val="24"/>
        </w:rPr>
        <w:t>.1</w:t>
      </w:r>
      <w:r w:rsidR="000B7D03" w:rsidRPr="006528B6">
        <w:rPr>
          <w:rFonts w:ascii="Times New Roman" w:hAnsi="Times New Roman"/>
          <w:b/>
          <w:sz w:val="24"/>
          <w:szCs w:val="24"/>
        </w:rPr>
        <w:t>.2</w:t>
      </w:r>
      <w:r w:rsidR="007B070E" w:rsidRPr="006528B6">
        <w:rPr>
          <w:rFonts w:ascii="Times New Roman" w:hAnsi="Times New Roman"/>
          <w:b/>
          <w:sz w:val="24"/>
          <w:szCs w:val="24"/>
        </w:rPr>
        <w:t>A - E</w:t>
      </w:r>
      <w:r w:rsidRPr="006528B6">
        <w:rPr>
          <w:rFonts w:ascii="Times New Roman" w:hAnsi="Times New Roman"/>
          <w:b/>
          <w:sz w:val="24"/>
          <w:szCs w:val="24"/>
        </w:rPr>
        <w:t>voluzione dei mercati delle telecomunicazioni tra realtà e prospettive</w:t>
      </w:r>
    </w:p>
    <w:p w14:paraId="288CD538" w14:textId="77777777" w:rsidR="001A0343" w:rsidRPr="006528B6" w:rsidRDefault="001A0343" w:rsidP="00213BAD">
      <w:pPr>
        <w:widowControl w:val="0"/>
        <w:tabs>
          <w:tab w:val="left" w:pos="2582"/>
        </w:tabs>
        <w:spacing w:after="0" w:line="240" w:lineRule="auto"/>
        <w:ind w:right="261" w:firstLine="708"/>
        <w:outlineLvl w:val="4"/>
        <w:rPr>
          <w:rFonts w:ascii="Verdana" w:eastAsia="Verdana" w:hAnsi="Verdana" w:cs="Times New Roman"/>
          <w:sz w:val="24"/>
          <w:szCs w:val="24"/>
        </w:rPr>
      </w:pPr>
    </w:p>
    <w:p w14:paraId="51794EAF" w14:textId="77777777" w:rsidR="006528B6" w:rsidRPr="006528B6" w:rsidRDefault="006528B6" w:rsidP="00213BAD">
      <w:pPr>
        <w:spacing w:after="0" w:line="240" w:lineRule="auto"/>
        <w:ind w:firstLine="709"/>
        <w:jc w:val="both"/>
        <w:rPr>
          <w:rFonts w:ascii="Times New Roman" w:eastAsia="Calibri" w:hAnsi="Times New Roman" w:cs="Times New Roman"/>
          <w:sz w:val="24"/>
          <w:szCs w:val="24"/>
        </w:rPr>
      </w:pPr>
    </w:p>
    <w:p w14:paraId="51163F4D" w14:textId="60B9C134" w:rsidR="001A0343" w:rsidRPr="006528B6" w:rsidRDefault="00286178" w:rsidP="00213BAD">
      <w:pPr>
        <w:spacing w:after="0" w:line="240" w:lineRule="auto"/>
        <w:ind w:firstLine="709"/>
        <w:jc w:val="both"/>
        <w:rPr>
          <w:rFonts w:ascii="Times New Roman" w:eastAsia="Calibri" w:hAnsi="Times New Roman" w:cs="Times New Roman"/>
          <w:sz w:val="24"/>
          <w:szCs w:val="24"/>
        </w:rPr>
      </w:pPr>
      <w:r w:rsidRPr="006528B6">
        <w:rPr>
          <w:rFonts w:ascii="Times New Roman" w:eastAsia="Calibri" w:hAnsi="Times New Roman" w:cs="Times New Roman"/>
          <w:sz w:val="24"/>
          <w:szCs w:val="24"/>
        </w:rPr>
        <w:t>I</w:t>
      </w:r>
      <w:r w:rsidR="00213BAD" w:rsidRPr="006528B6">
        <w:rPr>
          <w:rFonts w:ascii="Times New Roman" w:eastAsia="Calibri" w:hAnsi="Times New Roman" w:cs="Times New Roman"/>
          <w:sz w:val="24"/>
          <w:szCs w:val="24"/>
        </w:rPr>
        <w:t xml:space="preserve"> p</w:t>
      </w:r>
      <w:r w:rsidR="001A0343" w:rsidRPr="006528B6">
        <w:rPr>
          <w:rFonts w:ascii="Times New Roman" w:eastAsia="Calibri" w:hAnsi="Times New Roman" w:cs="Times New Roman"/>
          <w:sz w:val="24"/>
          <w:szCs w:val="24"/>
        </w:rPr>
        <w:t xml:space="preserve">rincipali </w:t>
      </w:r>
      <w:r w:rsidR="001A0343" w:rsidRPr="006528B6">
        <w:rPr>
          <w:rFonts w:ascii="Times New Roman" w:eastAsia="Calibri" w:hAnsi="Times New Roman" w:cs="Times New Roman"/>
          <w:i/>
          <w:iCs/>
          <w:sz w:val="24"/>
          <w:szCs w:val="24"/>
        </w:rPr>
        <w:t>trend</w:t>
      </w:r>
      <w:r w:rsidR="001A0343" w:rsidRPr="006528B6">
        <w:rPr>
          <w:rFonts w:ascii="Times New Roman" w:eastAsia="Calibri" w:hAnsi="Times New Roman" w:cs="Times New Roman"/>
          <w:sz w:val="24"/>
          <w:szCs w:val="24"/>
        </w:rPr>
        <w:t xml:space="preserve"> del 20</w:t>
      </w:r>
      <w:r w:rsidR="00460CE4" w:rsidRPr="006528B6">
        <w:rPr>
          <w:rFonts w:ascii="Times New Roman" w:eastAsia="Calibri" w:hAnsi="Times New Roman" w:cs="Times New Roman"/>
          <w:sz w:val="24"/>
          <w:szCs w:val="24"/>
        </w:rPr>
        <w:t>20</w:t>
      </w:r>
      <w:r w:rsidRPr="006528B6">
        <w:rPr>
          <w:rFonts w:ascii="Times New Roman" w:eastAsia="Calibri" w:hAnsi="Times New Roman" w:cs="Times New Roman"/>
          <w:sz w:val="24"/>
          <w:szCs w:val="24"/>
        </w:rPr>
        <w:t xml:space="preserve"> sono messi in evidenza qui</w:t>
      </w:r>
      <w:r w:rsidR="006528B6">
        <w:rPr>
          <w:rFonts w:ascii="Times New Roman" w:eastAsia="Calibri" w:hAnsi="Times New Roman" w:cs="Times New Roman"/>
          <w:sz w:val="24"/>
          <w:szCs w:val="24"/>
        </w:rPr>
        <w:t>,</w:t>
      </w:r>
      <w:r w:rsidRPr="006528B6">
        <w:rPr>
          <w:rFonts w:ascii="Times New Roman" w:eastAsia="Calibri" w:hAnsi="Times New Roman" w:cs="Times New Roman"/>
          <w:sz w:val="24"/>
          <w:szCs w:val="24"/>
        </w:rPr>
        <w:t xml:space="preserve"> di seguito</w:t>
      </w:r>
      <w:r w:rsidR="006528B6">
        <w:rPr>
          <w:rFonts w:ascii="Times New Roman" w:eastAsia="Calibri" w:hAnsi="Times New Roman" w:cs="Times New Roman"/>
          <w:sz w:val="24"/>
          <w:szCs w:val="24"/>
        </w:rPr>
        <w:t>.</w:t>
      </w:r>
    </w:p>
    <w:p w14:paraId="5D874E74" w14:textId="77777777" w:rsidR="001A0343" w:rsidRPr="006528B6" w:rsidRDefault="001A0343" w:rsidP="00213BAD">
      <w:pPr>
        <w:spacing w:after="0" w:line="240" w:lineRule="auto"/>
        <w:ind w:firstLine="709"/>
        <w:jc w:val="both"/>
        <w:rPr>
          <w:rFonts w:ascii="Times New Roman" w:eastAsia="Calibri" w:hAnsi="Times New Roman" w:cs="Times New Roman"/>
          <w:sz w:val="24"/>
          <w:szCs w:val="24"/>
        </w:rPr>
      </w:pPr>
    </w:p>
    <w:p w14:paraId="00848B9D" w14:textId="76DCB4DD" w:rsidR="00773E83" w:rsidRPr="006528B6" w:rsidRDefault="00460CE4" w:rsidP="00773E83">
      <w:pPr>
        <w:pStyle w:val="Paragrafoelenco"/>
        <w:numPr>
          <w:ilvl w:val="0"/>
          <w:numId w:val="1"/>
        </w:numPr>
        <w:autoSpaceDE w:val="0"/>
        <w:autoSpaceDN w:val="0"/>
        <w:adjustRightInd w:val="0"/>
        <w:spacing w:after="0" w:line="240" w:lineRule="auto"/>
        <w:jc w:val="both"/>
        <w:rPr>
          <w:rFonts w:ascii="Times New Roman" w:eastAsia="Optima-Regular" w:hAnsi="Times New Roman" w:cs="Times New Roman"/>
          <w:color w:val="FF0000"/>
          <w:sz w:val="24"/>
          <w:szCs w:val="24"/>
        </w:rPr>
      </w:pPr>
      <w:r w:rsidRPr="006528B6">
        <w:rPr>
          <w:rFonts w:ascii="Times New Roman" w:hAnsi="Times New Roman" w:cs="Times New Roman"/>
          <w:sz w:val="24"/>
          <w:szCs w:val="24"/>
        </w:rPr>
        <w:t xml:space="preserve">Il settore delle comunicazioni elettroniche ha risentito degli effetti della crisi pandemica ed ha mostrato una flessione, in termini di risorse complessive del 4,8%. </w:t>
      </w:r>
      <w:r w:rsidR="00464043" w:rsidRPr="006528B6">
        <w:rPr>
          <w:rFonts w:ascii="Times New Roman" w:hAnsi="Times New Roman" w:cs="Times New Roman"/>
          <w:sz w:val="24"/>
          <w:szCs w:val="24"/>
        </w:rPr>
        <w:t>C</w:t>
      </w:r>
      <w:r w:rsidRPr="006528B6">
        <w:rPr>
          <w:rFonts w:ascii="Times New Roman" w:hAnsi="Times New Roman" w:cs="Times New Roman"/>
          <w:sz w:val="24"/>
          <w:szCs w:val="24"/>
        </w:rPr>
        <w:t xml:space="preserve">ontrazione più marcata nella rete mobile (-5,9%), mentre </w:t>
      </w:r>
      <w:r w:rsidR="00464043" w:rsidRPr="006528B6">
        <w:rPr>
          <w:rFonts w:ascii="Times New Roman" w:hAnsi="Times New Roman" w:cs="Times New Roman"/>
          <w:sz w:val="24"/>
          <w:szCs w:val="24"/>
        </w:rPr>
        <w:t>nel</w:t>
      </w:r>
      <w:r w:rsidRPr="006528B6">
        <w:rPr>
          <w:rFonts w:ascii="Times New Roman" w:hAnsi="Times New Roman" w:cs="Times New Roman"/>
          <w:sz w:val="24"/>
          <w:szCs w:val="24"/>
        </w:rPr>
        <w:t xml:space="preserve">la rete fissa </w:t>
      </w:r>
      <w:r w:rsidR="00464043" w:rsidRPr="006528B6">
        <w:rPr>
          <w:rFonts w:ascii="Times New Roman" w:hAnsi="Times New Roman" w:cs="Times New Roman"/>
          <w:sz w:val="24"/>
          <w:szCs w:val="24"/>
        </w:rPr>
        <w:t>è</w:t>
      </w:r>
      <w:r w:rsidRPr="006528B6">
        <w:rPr>
          <w:rFonts w:ascii="Times New Roman" w:hAnsi="Times New Roman" w:cs="Times New Roman"/>
          <w:sz w:val="24"/>
          <w:szCs w:val="24"/>
        </w:rPr>
        <w:t xml:space="preserve"> più contenut</w:t>
      </w:r>
      <w:r w:rsidR="00464043" w:rsidRPr="006528B6">
        <w:rPr>
          <w:rFonts w:ascii="Times New Roman" w:hAnsi="Times New Roman" w:cs="Times New Roman"/>
          <w:sz w:val="24"/>
          <w:szCs w:val="24"/>
        </w:rPr>
        <w:t>a</w:t>
      </w:r>
      <w:r w:rsidRPr="006528B6">
        <w:rPr>
          <w:rFonts w:ascii="Times New Roman" w:hAnsi="Times New Roman" w:cs="Times New Roman"/>
          <w:sz w:val="24"/>
          <w:szCs w:val="24"/>
        </w:rPr>
        <w:t xml:space="preserve"> (-3,8%)</w:t>
      </w:r>
      <w:r w:rsidR="008D5C15" w:rsidRPr="006528B6">
        <w:rPr>
          <w:rFonts w:ascii="Times New Roman" w:hAnsi="Times New Roman" w:cs="Times New Roman"/>
          <w:sz w:val="24"/>
          <w:szCs w:val="24"/>
        </w:rPr>
        <w:t xml:space="preserve">; </w:t>
      </w:r>
      <w:r w:rsidR="009B4ED5" w:rsidRPr="006528B6">
        <w:rPr>
          <w:rFonts w:ascii="Times New Roman" w:hAnsi="Times New Roman" w:cs="Times New Roman"/>
          <w:sz w:val="24"/>
          <w:szCs w:val="24"/>
        </w:rPr>
        <w:t>ciò nonostante,</w:t>
      </w:r>
      <w:r w:rsidR="008D5C15" w:rsidRPr="006528B6">
        <w:rPr>
          <w:rFonts w:ascii="Times New Roman" w:hAnsi="Times New Roman" w:cs="Times New Roman"/>
          <w:sz w:val="24"/>
          <w:szCs w:val="24"/>
        </w:rPr>
        <w:t xml:space="preserve"> il settore ha mostrato</w:t>
      </w:r>
      <w:r w:rsidR="0064509C" w:rsidRPr="006528B6">
        <w:rPr>
          <w:rFonts w:ascii="Times New Roman" w:hAnsi="Times New Roman" w:cs="Times New Roman"/>
          <w:sz w:val="24"/>
          <w:szCs w:val="24"/>
        </w:rPr>
        <w:t xml:space="preserve"> una maggiore resilienza </w:t>
      </w:r>
      <w:r w:rsidR="008D5C15" w:rsidRPr="006528B6">
        <w:rPr>
          <w:rFonts w:ascii="Times New Roman" w:hAnsi="Times New Roman" w:cs="Times New Roman"/>
          <w:sz w:val="24"/>
          <w:szCs w:val="24"/>
        </w:rPr>
        <w:t xml:space="preserve">e </w:t>
      </w:r>
      <w:r w:rsidR="0064509C" w:rsidRPr="006528B6">
        <w:rPr>
          <w:rFonts w:ascii="Times New Roman" w:hAnsi="Times New Roman" w:cs="Times New Roman"/>
          <w:sz w:val="24"/>
          <w:szCs w:val="24"/>
        </w:rPr>
        <w:t>capacità di tenuta rispetto all’andamento del sistema economico in generale</w:t>
      </w:r>
      <w:r w:rsidR="008D5C15" w:rsidRPr="006528B6">
        <w:rPr>
          <w:rFonts w:ascii="Times New Roman" w:hAnsi="Times New Roman" w:cs="Times New Roman"/>
          <w:sz w:val="24"/>
          <w:szCs w:val="24"/>
        </w:rPr>
        <w:t xml:space="preserve"> (</w:t>
      </w:r>
      <w:r w:rsidR="0064509C" w:rsidRPr="006528B6">
        <w:rPr>
          <w:rFonts w:ascii="Times New Roman" w:hAnsi="Times New Roman" w:cs="Times New Roman"/>
          <w:sz w:val="24"/>
          <w:szCs w:val="24"/>
        </w:rPr>
        <w:t>crescita nel rapporto tra le risorse del comparto e le principali grandezze macroeconomiche</w:t>
      </w:r>
      <w:r w:rsidR="008D5C15" w:rsidRPr="006528B6">
        <w:rPr>
          <w:rFonts w:ascii="Times New Roman" w:hAnsi="Times New Roman" w:cs="Times New Roman"/>
          <w:sz w:val="24"/>
          <w:szCs w:val="24"/>
        </w:rPr>
        <w:t xml:space="preserve">, </w:t>
      </w:r>
      <w:r w:rsidR="0064509C" w:rsidRPr="006528B6">
        <w:rPr>
          <w:rFonts w:ascii="Times New Roman" w:hAnsi="Times New Roman" w:cs="Times New Roman"/>
          <w:sz w:val="24"/>
          <w:szCs w:val="24"/>
        </w:rPr>
        <w:t>PIL</w:t>
      </w:r>
      <w:r w:rsidR="008D5C15" w:rsidRPr="006528B6">
        <w:rPr>
          <w:rFonts w:ascii="Times New Roman" w:hAnsi="Times New Roman" w:cs="Times New Roman"/>
          <w:sz w:val="24"/>
          <w:szCs w:val="24"/>
        </w:rPr>
        <w:t>-</w:t>
      </w:r>
      <w:r w:rsidR="0064509C" w:rsidRPr="006528B6">
        <w:rPr>
          <w:rFonts w:ascii="Times New Roman" w:hAnsi="Times New Roman" w:cs="Times New Roman"/>
          <w:sz w:val="24"/>
          <w:szCs w:val="24"/>
        </w:rPr>
        <w:t xml:space="preserve"> spesa delle famiglie</w:t>
      </w:r>
      <w:r w:rsidR="008D5C15" w:rsidRPr="006528B6">
        <w:rPr>
          <w:rFonts w:ascii="Times New Roman" w:hAnsi="Times New Roman" w:cs="Times New Roman"/>
          <w:sz w:val="24"/>
          <w:szCs w:val="24"/>
        </w:rPr>
        <w:t>-</w:t>
      </w:r>
      <w:r w:rsidR="0064509C" w:rsidRPr="006528B6">
        <w:rPr>
          <w:rFonts w:ascii="Times New Roman" w:hAnsi="Times New Roman" w:cs="Times New Roman"/>
          <w:sz w:val="24"/>
          <w:szCs w:val="24"/>
        </w:rPr>
        <w:t xml:space="preserve"> investimenti)</w:t>
      </w:r>
      <w:r w:rsidR="00563458" w:rsidRPr="006528B6">
        <w:rPr>
          <w:rFonts w:ascii="Times New Roman" w:hAnsi="Times New Roman" w:cs="Times New Roman"/>
          <w:sz w:val="24"/>
          <w:szCs w:val="24"/>
        </w:rPr>
        <w:t>.</w:t>
      </w:r>
    </w:p>
    <w:p w14:paraId="2D11C18E" w14:textId="62FA0BBC" w:rsidR="00563458" w:rsidRPr="006528B6" w:rsidRDefault="00563458" w:rsidP="00563458">
      <w:pPr>
        <w:pStyle w:val="Paragrafoelenco"/>
        <w:numPr>
          <w:ilvl w:val="0"/>
          <w:numId w:val="1"/>
        </w:numPr>
        <w:autoSpaceDE w:val="0"/>
        <w:autoSpaceDN w:val="0"/>
        <w:adjustRightInd w:val="0"/>
        <w:spacing w:after="0" w:line="240" w:lineRule="auto"/>
        <w:jc w:val="both"/>
        <w:rPr>
          <w:rFonts w:ascii="Times New Roman" w:eastAsia="Optima-Regular" w:hAnsi="Times New Roman" w:cs="Times New Roman"/>
          <w:color w:val="FF0000"/>
          <w:sz w:val="24"/>
          <w:szCs w:val="24"/>
        </w:rPr>
      </w:pPr>
      <w:r w:rsidRPr="006528B6">
        <w:rPr>
          <w:rFonts w:ascii="Times New Roman" w:hAnsi="Times New Roman" w:cs="Times New Roman"/>
          <w:sz w:val="24"/>
          <w:szCs w:val="24"/>
        </w:rPr>
        <w:t xml:space="preserve">Gli investimenti in infrastrutture di rete nel complesso mostrano una riduzione del 7,7% (per complessivi 620 milioni di euro di minori investimenti), </w:t>
      </w:r>
      <w:r w:rsidR="00464043" w:rsidRPr="006528B6">
        <w:rPr>
          <w:rFonts w:ascii="Times New Roman" w:hAnsi="Times New Roman" w:cs="Times New Roman"/>
          <w:sz w:val="24"/>
          <w:szCs w:val="24"/>
        </w:rPr>
        <w:t>la flessione è più marginale</w:t>
      </w:r>
      <w:r w:rsidRPr="006528B6">
        <w:rPr>
          <w:rFonts w:ascii="Times New Roman" w:hAnsi="Times New Roman" w:cs="Times New Roman"/>
          <w:sz w:val="24"/>
          <w:szCs w:val="24"/>
        </w:rPr>
        <w:t xml:space="preserve"> nella rete fissa, di poco superiore all’1%</w:t>
      </w:r>
      <w:r w:rsidR="00464043" w:rsidRPr="006528B6">
        <w:rPr>
          <w:rFonts w:ascii="Times New Roman" w:hAnsi="Times New Roman" w:cs="Times New Roman"/>
          <w:sz w:val="24"/>
          <w:szCs w:val="24"/>
        </w:rPr>
        <w:t xml:space="preserve"> ed</w:t>
      </w:r>
      <w:r w:rsidRPr="006528B6">
        <w:rPr>
          <w:rFonts w:ascii="Times New Roman" w:hAnsi="Times New Roman" w:cs="Times New Roman"/>
          <w:sz w:val="24"/>
          <w:szCs w:val="24"/>
        </w:rPr>
        <w:t xml:space="preserve"> interessa soprattutto gli operatori concorrenti (cd. OAO); mentre nella rete mobile </w:t>
      </w:r>
      <w:r w:rsidR="00464043" w:rsidRPr="006528B6">
        <w:rPr>
          <w:rFonts w:ascii="Times New Roman" w:hAnsi="Times New Roman" w:cs="Times New Roman"/>
          <w:sz w:val="24"/>
          <w:szCs w:val="24"/>
        </w:rPr>
        <w:t>la</w:t>
      </w:r>
      <w:r w:rsidRPr="006528B6">
        <w:rPr>
          <w:rFonts w:ascii="Times New Roman" w:hAnsi="Times New Roman" w:cs="Times New Roman"/>
          <w:sz w:val="24"/>
          <w:szCs w:val="24"/>
        </w:rPr>
        <w:t xml:space="preserve"> riduzione</w:t>
      </w:r>
      <w:r w:rsidR="00464043" w:rsidRPr="006528B6">
        <w:rPr>
          <w:rFonts w:ascii="Times New Roman" w:hAnsi="Times New Roman" w:cs="Times New Roman"/>
          <w:sz w:val="24"/>
          <w:szCs w:val="24"/>
        </w:rPr>
        <w:t xml:space="preserve"> è</w:t>
      </w:r>
      <w:r w:rsidRPr="006528B6">
        <w:rPr>
          <w:rFonts w:ascii="Times New Roman" w:hAnsi="Times New Roman" w:cs="Times New Roman"/>
          <w:sz w:val="24"/>
          <w:szCs w:val="24"/>
        </w:rPr>
        <w:t xml:space="preserve"> prossima al 20%</w:t>
      </w:r>
      <w:r w:rsidR="00464043" w:rsidRPr="006528B6">
        <w:rPr>
          <w:rFonts w:ascii="Times New Roman" w:hAnsi="Times New Roman" w:cs="Times New Roman"/>
          <w:sz w:val="24"/>
          <w:szCs w:val="24"/>
        </w:rPr>
        <w:t>,</w:t>
      </w:r>
      <w:r w:rsidRPr="006528B6">
        <w:rPr>
          <w:rFonts w:ascii="Times New Roman" w:hAnsi="Times New Roman" w:cs="Times New Roman"/>
          <w:sz w:val="24"/>
          <w:szCs w:val="24"/>
        </w:rPr>
        <w:t xml:space="preserve"> </w:t>
      </w:r>
      <w:r w:rsidR="00464043" w:rsidRPr="006528B6">
        <w:rPr>
          <w:rFonts w:ascii="Times New Roman" w:hAnsi="Times New Roman" w:cs="Times New Roman"/>
          <w:sz w:val="24"/>
          <w:szCs w:val="24"/>
        </w:rPr>
        <w:t>ed è dovuta ad una</w:t>
      </w:r>
      <w:r w:rsidRPr="006528B6">
        <w:rPr>
          <w:rFonts w:ascii="Times New Roman" w:hAnsi="Times New Roman" w:cs="Times New Roman"/>
          <w:sz w:val="24"/>
          <w:szCs w:val="24"/>
        </w:rPr>
        <w:t xml:space="preserve"> dinamica concorrenziale decisamente più accesa</w:t>
      </w:r>
      <w:r w:rsidR="00464043" w:rsidRPr="006528B6">
        <w:rPr>
          <w:rFonts w:ascii="Times New Roman" w:hAnsi="Times New Roman" w:cs="Times New Roman"/>
          <w:sz w:val="24"/>
          <w:szCs w:val="24"/>
        </w:rPr>
        <w:t xml:space="preserve"> e ai</w:t>
      </w:r>
      <w:r w:rsidRPr="006528B6">
        <w:rPr>
          <w:rFonts w:ascii="Times New Roman" w:hAnsi="Times New Roman" w:cs="Times New Roman"/>
          <w:sz w:val="24"/>
          <w:szCs w:val="24"/>
        </w:rPr>
        <w:t xml:space="preserve"> margini degli operatori più contenuti. Tale diminuzione è anche il fisiologico rimbalzo degli ingenti investimenti in frequenze 5G effettuati dagli operatori negli scorsi anni. </w:t>
      </w:r>
    </w:p>
    <w:p w14:paraId="48E4B30D" w14:textId="6362A084" w:rsidR="00773E83" w:rsidRPr="006528B6" w:rsidRDefault="00C57FBA" w:rsidP="00773E83">
      <w:pPr>
        <w:pStyle w:val="Paragrafoelenco"/>
        <w:numPr>
          <w:ilvl w:val="0"/>
          <w:numId w:val="1"/>
        </w:numPr>
        <w:autoSpaceDE w:val="0"/>
        <w:autoSpaceDN w:val="0"/>
        <w:adjustRightInd w:val="0"/>
        <w:spacing w:after="0" w:line="240" w:lineRule="auto"/>
        <w:jc w:val="both"/>
        <w:rPr>
          <w:rFonts w:ascii="Times New Roman" w:eastAsia="Optima-Regular" w:hAnsi="Times New Roman" w:cs="Times New Roman"/>
          <w:color w:val="FF0000"/>
          <w:sz w:val="24"/>
          <w:szCs w:val="24"/>
        </w:rPr>
      </w:pPr>
      <w:r w:rsidRPr="006528B6">
        <w:rPr>
          <w:rFonts w:ascii="Times New Roman" w:hAnsi="Times New Roman" w:cs="Times New Roman"/>
          <w:sz w:val="24"/>
          <w:szCs w:val="24"/>
        </w:rPr>
        <w:t>La spesa della clientela residenziale e affari</w:t>
      </w:r>
      <w:r w:rsidR="00563458" w:rsidRPr="006528B6">
        <w:rPr>
          <w:rFonts w:ascii="Times New Roman" w:hAnsi="Times New Roman" w:cs="Times New Roman"/>
          <w:sz w:val="24"/>
          <w:szCs w:val="24"/>
        </w:rPr>
        <w:t xml:space="preserve"> </w:t>
      </w:r>
      <w:r w:rsidRPr="006528B6">
        <w:rPr>
          <w:rFonts w:ascii="Times New Roman" w:hAnsi="Times New Roman" w:cs="Times New Roman"/>
          <w:sz w:val="24"/>
          <w:szCs w:val="24"/>
        </w:rPr>
        <w:t>mostra una flessione compless</w:t>
      </w:r>
      <w:r w:rsidR="002E4CFB" w:rsidRPr="006528B6">
        <w:rPr>
          <w:rFonts w:ascii="Times New Roman" w:hAnsi="Times New Roman" w:cs="Times New Roman"/>
          <w:sz w:val="24"/>
          <w:szCs w:val="24"/>
        </w:rPr>
        <w:t>iva del</w:t>
      </w:r>
      <w:r w:rsidRPr="006528B6">
        <w:rPr>
          <w:rFonts w:ascii="Times New Roman" w:hAnsi="Times New Roman" w:cs="Times New Roman"/>
          <w:sz w:val="24"/>
          <w:szCs w:val="24"/>
        </w:rPr>
        <w:t xml:space="preserve"> 6,9%</w:t>
      </w:r>
      <w:r w:rsidR="00563458" w:rsidRPr="006528B6">
        <w:rPr>
          <w:rFonts w:ascii="Times New Roman" w:hAnsi="Times New Roman" w:cs="Times New Roman"/>
          <w:sz w:val="24"/>
          <w:szCs w:val="24"/>
        </w:rPr>
        <w:t>; p</w:t>
      </w:r>
      <w:r w:rsidRPr="006528B6">
        <w:rPr>
          <w:rFonts w:ascii="Times New Roman" w:hAnsi="Times New Roman" w:cs="Times New Roman"/>
          <w:sz w:val="24"/>
          <w:szCs w:val="24"/>
        </w:rPr>
        <w:t xml:space="preserve">er i ricavi da rete mobile </w:t>
      </w:r>
      <w:r w:rsidR="00C36801" w:rsidRPr="006528B6">
        <w:rPr>
          <w:rFonts w:ascii="Times New Roman" w:hAnsi="Times New Roman" w:cs="Times New Roman"/>
          <w:sz w:val="24"/>
          <w:szCs w:val="24"/>
        </w:rPr>
        <w:t xml:space="preserve">la flessione è del </w:t>
      </w:r>
      <w:r w:rsidRPr="006528B6">
        <w:rPr>
          <w:rFonts w:ascii="Times New Roman" w:hAnsi="Times New Roman" w:cs="Times New Roman"/>
          <w:sz w:val="24"/>
          <w:szCs w:val="24"/>
        </w:rPr>
        <w:t>-8,2%</w:t>
      </w:r>
      <w:r w:rsidR="00C36801" w:rsidRPr="006528B6">
        <w:rPr>
          <w:rFonts w:ascii="Times New Roman" w:hAnsi="Times New Roman" w:cs="Times New Roman"/>
          <w:sz w:val="24"/>
          <w:szCs w:val="24"/>
        </w:rPr>
        <w:t xml:space="preserve"> ed è </w:t>
      </w:r>
      <w:r w:rsidR="002E4CFB" w:rsidRPr="006528B6">
        <w:rPr>
          <w:rFonts w:ascii="Times New Roman" w:hAnsi="Times New Roman" w:cs="Times New Roman"/>
          <w:sz w:val="24"/>
          <w:szCs w:val="24"/>
        </w:rPr>
        <w:t xml:space="preserve">dovuta ad </w:t>
      </w:r>
      <w:r w:rsidRPr="006528B6">
        <w:rPr>
          <w:rFonts w:ascii="Times New Roman" w:hAnsi="Times New Roman" w:cs="Times New Roman"/>
          <w:sz w:val="24"/>
          <w:szCs w:val="24"/>
        </w:rPr>
        <w:t>un contesto competitivo caratterizzato da una forte pressione sui prezzi</w:t>
      </w:r>
      <w:r w:rsidR="002E4CFB" w:rsidRPr="006528B6">
        <w:rPr>
          <w:rFonts w:ascii="Times New Roman" w:hAnsi="Times New Roman" w:cs="Times New Roman"/>
          <w:sz w:val="24"/>
          <w:szCs w:val="24"/>
        </w:rPr>
        <w:t xml:space="preserve"> da parte di tutti gli operatori; </w:t>
      </w:r>
      <w:r w:rsidR="00C36801" w:rsidRPr="006528B6">
        <w:rPr>
          <w:rFonts w:ascii="Times New Roman" w:hAnsi="Times New Roman" w:cs="Times New Roman"/>
          <w:sz w:val="24"/>
          <w:szCs w:val="24"/>
        </w:rPr>
        <w:t xml:space="preserve">per i ricavi da rete fissa si registra </w:t>
      </w:r>
      <w:r w:rsidR="002E4CFB" w:rsidRPr="006528B6">
        <w:rPr>
          <w:rFonts w:ascii="Times New Roman" w:hAnsi="Times New Roman" w:cs="Times New Roman"/>
          <w:sz w:val="24"/>
          <w:szCs w:val="24"/>
        </w:rPr>
        <w:t>u</w:t>
      </w:r>
      <w:r w:rsidRPr="006528B6">
        <w:rPr>
          <w:rFonts w:ascii="Times New Roman" w:hAnsi="Times New Roman" w:cs="Times New Roman"/>
          <w:sz w:val="24"/>
          <w:szCs w:val="24"/>
        </w:rPr>
        <w:t xml:space="preserve">na riduzione minore </w:t>
      </w:r>
      <w:r w:rsidR="00C36801" w:rsidRPr="006528B6">
        <w:rPr>
          <w:rFonts w:ascii="Times New Roman" w:hAnsi="Times New Roman" w:cs="Times New Roman"/>
          <w:sz w:val="24"/>
          <w:szCs w:val="24"/>
        </w:rPr>
        <w:t xml:space="preserve">del </w:t>
      </w:r>
      <w:r w:rsidRPr="006528B6">
        <w:rPr>
          <w:rFonts w:ascii="Times New Roman" w:hAnsi="Times New Roman" w:cs="Times New Roman"/>
          <w:sz w:val="24"/>
          <w:szCs w:val="24"/>
        </w:rPr>
        <w:t>-5,7%, grazie</w:t>
      </w:r>
      <w:r w:rsidR="002E4CFB" w:rsidRPr="006528B6">
        <w:rPr>
          <w:rFonts w:ascii="Times New Roman" w:hAnsi="Times New Roman" w:cs="Times New Roman"/>
          <w:sz w:val="24"/>
          <w:szCs w:val="24"/>
        </w:rPr>
        <w:t xml:space="preserve"> </w:t>
      </w:r>
      <w:r w:rsidRPr="006528B6">
        <w:rPr>
          <w:rFonts w:ascii="Times New Roman" w:hAnsi="Times New Roman" w:cs="Times New Roman"/>
          <w:sz w:val="24"/>
          <w:szCs w:val="24"/>
        </w:rPr>
        <w:t>alla progressiva diffusione della banda larga e ultra-larga.</w:t>
      </w:r>
    </w:p>
    <w:p w14:paraId="16D8C7AF" w14:textId="77777777" w:rsidR="0030031B" w:rsidRPr="006528B6" w:rsidRDefault="00C36801" w:rsidP="00773E83">
      <w:pPr>
        <w:pStyle w:val="Paragrafoelenco"/>
        <w:numPr>
          <w:ilvl w:val="0"/>
          <w:numId w:val="1"/>
        </w:numPr>
        <w:autoSpaceDE w:val="0"/>
        <w:autoSpaceDN w:val="0"/>
        <w:adjustRightInd w:val="0"/>
        <w:spacing w:after="0" w:line="240" w:lineRule="auto"/>
        <w:jc w:val="both"/>
        <w:rPr>
          <w:rFonts w:ascii="Times New Roman" w:eastAsia="Optima-Regular" w:hAnsi="Times New Roman" w:cs="Times New Roman"/>
          <w:sz w:val="24"/>
          <w:szCs w:val="24"/>
        </w:rPr>
      </w:pPr>
      <w:r w:rsidRPr="006528B6">
        <w:rPr>
          <w:rFonts w:ascii="Times New Roman" w:hAnsi="Times New Roman" w:cs="Times New Roman"/>
          <w:sz w:val="24"/>
          <w:szCs w:val="24"/>
        </w:rPr>
        <w:t>Si conferma anche nel 2020 la tendenza che vede, a partire dal 2018, la spesa complessiva degli utenti in servizi di rete fissa essere superiore a quanto osservato per i servizi da rete mobile.</w:t>
      </w:r>
      <w:r w:rsidRPr="006528B6">
        <w:rPr>
          <w:rFonts w:ascii="Times New Roman" w:hAnsi="Times New Roman" w:cs="Times New Roman"/>
          <w:color w:val="000000"/>
          <w:sz w:val="24"/>
          <w:szCs w:val="24"/>
        </w:rPr>
        <w:t xml:space="preserve"> </w:t>
      </w:r>
      <w:r w:rsidR="0030031B" w:rsidRPr="006528B6">
        <w:rPr>
          <w:rFonts w:ascii="Times New Roman" w:hAnsi="Times New Roman" w:cs="Times New Roman"/>
          <w:sz w:val="24"/>
          <w:szCs w:val="24"/>
        </w:rPr>
        <w:t>La clientela residenziale ha registrato una contrazione maggiore rispetto a quella affari (7,5% vs. 6,0%), con un decremento particolarmente rilevante nella rete mobile (-9,1%).</w:t>
      </w:r>
    </w:p>
    <w:p w14:paraId="2BE07B7C" w14:textId="77777777" w:rsidR="007008C8" w:rsidRPr="006528B6" w:rsidRDefault="00F8079D" w:rsidP="007008C8">
      <w:pPr>
        <w:pStyle w:val="Paragrafoelenco"/>
        <w:numPr>
          <w:ilvl w:val="0"/>
          <w:numId w:val="1"/>
        </w:numPr>
        <w:autoSpaceDE w:val="0"/>
        <w:autoSpaceDN w:val="0"/>
        <w:adjustRightInd w:val="0"/>
        <w:spacing w:after="0" w:line="240" w:lineRule="auto"/>
        <w:jc w:val="both"/>
        <w:rPr>
          <w:rFonts w:ascii="Times New Roman" w:hAnsi="Times New Roman" w:cs="Times New Roman"/>
          <w:sz w:val="24"/>
          <w:szCs w:val="24"/>
        </w:rPr>
      </w:pPr>
      <w:r w:rsidRPr="006528B6">
        <w:rPr>
          <w:rFonts w:ascii="Times New Roman" w:hAnsi="Times New Roman" w:cs="Times New Roman"/>
          <w:sz w:val="24"/>
          <w:szCs w:val="24"/>
        </w:rPr>
        <w:t>Per ciò che riguarda i ricavi da servizi intermedi (wholesale) si osserva una complessiva crescita degli introiti (in media del 4,7%) dovuta anche agli effetti dei cambiamenti generati dalla pandemia sulla vita quotidiana degli italiani</w:t>
      </w:r>
      <w:r w:rsidR="00B476C3" w:rsidRPr="006528B6">
        <w:rPr>
          <w:rFonts w:ascii="Times New Roman" w:hAnsi="Times New Roman" w:cs="Times New Roman"/>
          <w:sz w:val="24"/>
          <w:szCs w:val="24"/>
        </w:rPr>
        <w:t>.</w:t>
      </w:r>
      <w:r w:rsidR="007008C8" w:rsidRPr="006528B6">
        <w:rPr>
          <w:rFonts w:ascii="Times New Roman" w:hAnsi="Times New Roman" w:cs="Times New Roman"/>
          <w:sz w:val="24"/>
          <w:szCs w:val="24"/>
        </w:rPr>
        <w:t xml:space="preserve"> </w:t>
      </w:r>
    </w:p>
    <w:p w14:paraId="424CA40D" w14:textId="40B99D9E" w:rsidR="007008C8" w:rsidRPr="006528B6" w:rsidRDefault="00EF6703" w:rsidP="007008C8">
      <w:pPr>
        <w:pStyle w:val="Paragrafoelenco"/>
        <w:numPr>
          <w:ilvl w:val="0"/>
          <w:numId w:val="1"/>
        </w:numPr>
        <w:autoSpaceDE w:val="0"/>
        <w:autoSpaceDN w:val="0"/>
        <w:adjustRightInd w:val="0"/>
        <w:spacing w:after="0" w:line="240" w:lineRule="auto"/>
        <w:jc w:val="both"/>
        <w:rPr>
          <w:rFonts w:ascii="Times New Roman" w:hAnsi="Times New Roman" w:cs="Times New Roman"/>
          <w:sz w:val="24"/>
          <w:szCs w:val="24"/>
        </w:rPr>
      </w:pPr>
      <w:r w:rsidRPr="006528B6">
        <w:rPr>
          <w:rFonts w:ascii="Times New Roman" w:hAnsi="Times New Roman" w:cs="Times New Roman"/>
          <w:sz w:val="24"/>
          <w:szCs w:val="24"/>
        </w:rPr>
        <w:t xml:space="preserve">Crescono </w:t>
      </w:r>
      <w:r w:rsidR="00934278" w:rsidRPr="006528B6">
        <w:rPr>
          <w:rFonts w:ascii="Times New Roman" w:hAnsi="Times New Roman" w:cs="Times New Roman"/>
          <w:sz w:val="24"/>
          <w:szCs w:val="24"/>
        </w:rPr>
        <w:t xml:space="preserve">anche </w:t>
      </w:r>
      <w:r w:rsidR="00B476C3" w:rsidRPr="006528B6">
        <w:rPr>
          <w:rFonts w:ascii="Times New Roman" w:hAnsi="Times New Roman" w:cs="Times New Roman"/>
          <w:sz w:val="24"/>
          <w:szCs w:val="24"/>
        </w:rPr>
        <w:t xml:space="preserve">gli introiti legati ai canoni per abbonamenti a linee ultrabroadband (VDSL e FTTH in primo luogo) </w:t>
      </w:r>
      <w:r w:rsidR="00934278" w:rsidRPr="006528B6">
        <w:rPr>
          <w:rFonts w:ascii="Times New Roman" w:hAnsi="Times New Roman" w:cs="Times New Roman"/>
          <w:sz w:val="24"/>
          <w:szCs w:val="24"/>
        </w:rPr>
        <w:t>per via</w:t>
      </w:r>
      <w:r w:rsidR="00B476C3" w:rsidRPr="006528B6">
        <w:rPr>
          <w:rFonts w:ascii="Times New Roman" w:hAnsi="Times New Roman" w:cs="Times New Roman"/>
          <w:sz w:val="24"/>
          <w:szCs w:val="24"/>
        </w:rPr>
        <w:t xml:space="preserve"> dell’aumento del numero di utenti che ha scelto di usufruire di prestazioni </w:t>
      </w:r>
      <w:r w:rsidR="007C07D1" w:rsidRPr="006528B6">
        <w:rPr>
          <w:rFonts w:ascii="Times New Roman" w:hAnsi="Times New Roman" w:cs="Times New Roman"/>
          <w:sz w:val="24"/>
          <w:szCs w:val="24"/>
        </w:rPr>
        <w:t>di maggior</w:t>
      </w:r>
      <w:r w:rsidR="00B476C3" w:rsidRPr="006528B6">
        <w:rPr>
          <w:rFonts w:ascii="Times New Roman" w:hAnsi="Times New Roman" w:cs="Times New Roman"/>
          <w:sz w:val="24"/>
          <w:szCs w:val="24"/>
        </w:rPr>
        <w:t xml:space="preserve"> qualità nella velocità di connessione da rete fissa</w:t>
      </w:r>
      <w:r w:rsidR="00934278" w:rsidRPr="006528B6">
        <w:rPr>
          <w:rFonts w:ascii="Times New Roman" w:hAnsi="Times New Roman" w:cs="Times New Roman"/>
          <w:sz w:val="24"/>
          <w:szCs w:val="24"/>
        </w:rPr>
        <w:t>; p</w:t>
      </w:r>
      <w:r w:rsidR="00B476C3" w:rsidRPr="006528B6">
        <w:rPr>
          <w:rFonts w:ascii="Times New Roman" w:hAnsi="Times New Roman" w:cs="Times New Roman"/>
          <w:sz w:val="24"/>
          <w:szCs w:val="24"/>
        </w:rPr>
        <w:t>er i servizi mobili, l’incremento nei volumi di traffico delle comunicazioni vocali è alla base dell’aumento, in particolare, dei ricavi da servizi di terminazione per chiamate da altre reti mobili.</w:t>
      </w:r>
      <w:r w:rsidR="007008C8" w:rsidRPr="006528B6">
        <w:rPr>
          <w:rFonts w:ascii="Times New Roman" w:hAnsi="Times New Roman" w:cs="Times New Roman"/>
          <w:sz w:val="24"/>
          <w:szCs w:val="24"/>
        </w:rPr>
        <w:t xml:space="preserve"> </w:t>
      </w:r>
    </w:p>
    <w:p w14:paraId="612623CE" w14:textId="50813BFB" w:rsidR="00385609" w:rsidRPr="006528B6" w:rsidRDefault="00AC07FD" w:rsidP="00773E83">
      <w:pPr>
        <w:pStyle w:val="Paragrafoelenco"/>
        <w:numPr>
          <w:ilvl w:val="0"/>
          <w:numId w:val="1"/>
        </w:numPr>
        <w:autoSpaceDE w:val="0"/>
        <w:autoSpaceDN w:val="0"/>
        <w:adjustRightInd w:val="0"/>
        <w:spacing w:after="0" w:line="240" w:lineRule="auto"/>
        <w:jc w:val="both"/>
        <w:rPr>
          <w:rFonts w:ascii="Times New Roman" w:eastAsia="Optima-Regular" w:hAnsi="Times New Roman" w:cs="Times New Roman"/>
          <w:sz w:val="24"/>
          <w:szCs w:val="24"/>
        </w:rPr>
      </w:pPr>
      <w:r w:rsidRPr="006528B6">
        <w:rPr>
          <w:rFonts w:ascii="Times New Roman" w:hAnsi="Times New Roman" w:cs="Times New Roman"/>
          <w:sz w:val="24"/>
          <w:szCs w:val="24"/>
        </w:rPr>
        <w:t>Gli investimenti dell’incumbent</w:t>
      </w:r>
      <w:r w:rsidR="00216AA1" w:rsidRPr="006528B6">
        <w:rPr>
          <w:rFonts w:ascii="Times New Roman" w:hAnsi="Times New Roman" w:cs="Times New Roman"/>
          <w:sz w:val="24"/>
          <w:szCs w:val="24"/>
        </w:rPr>
        <w:t xml:space="preserve"> (TIM)</w:t>
      </w:r>
      <w:r w:rsidRPr="006528B6">
        <w:rPr>
          <w:rFonts w:ascii="Times New Roman" w:hAnsi="Times New Roman" w:cs="Times New Roman"/>
          <w:sz w:val="24"/>
          <w:szCs w:val="24"/>
        </w:rPr>
        <w:t xml:space="preserve"> hanno nel complesso subito una contrazione (-4,3%) nettamente inferiore rispetto a quanto osservabile per gli altri operatori (-9,3%)</w:t>
      </w:r>
      <w:r w:rsidR="00216AA1" w:rsidRPr="006528B6">
        <w:rPr>
          <w:rFonts w:ascii="Times New Roman" w:hAnsi="Times New Roman" w:cs="Times New Roman"/>
          <w:sz w:val="24"/>
          <w:szCs w:val="24"/>
        </w:rPr>
        <w:t xml:space="preserve">; </w:t>
      </w:r>
      <w:r w:rsidR="00385609" w:rsidRPr="006528B6">
        <w:rPr>
          <w:rFonts w:ascii="Times New Roman" w:hAnsi="Times New Roman" w:cs="Times New Roman"/>
          <w:sz w:val="24"/>
          <w:szCs w:val="24"/>
        </w:rPr>
        <w:t>se ne avvantaggiano soprattutto Fastweb, che guadagna oltre un punto percentuale anche grazie all’integrazione dei servizi fissi e mobili, e Iliad (+0,9 punti percentuali), le cui offerte hanno superato a fine anno 7,2 milioni di sottoscrizioni.</w:t>
      </w:r>
    </w:p>
    <w:p w14:paraId="45D96647" w14:textId="77777777" w:rsidR="008D5C15" w:rsidRPr="006528B6" w:rsidRDefault="00153CBE" w:rsidP="00773E83">
      <w:pPr>
        <w:pStyle w:val="Paragrafoelenco"/>
        <w:numPr>
          <w:ilvl w:val="0"/>
          <w:numId w:val="1"/>
        </w:numPr>
        <w:autoSpaceDE w:val="0"/>
        <w:autoSpaceDN w:val="0"/>
        <w:adjustRightInd w:val="0"/>
        <w:spacing w:after="0" w:line="240" w:lineRule="auto"/>
        <w:jc w:val="both"/>
        <w:rPr>
          <w:rFonts w:ascii="Times New Roman" w:eastAsia="Optima-Regular" w:hAnsi="Times New Roman" w:cs="Times New Roman"/>
          <w:color w:val="FF0000"/>
          <w:sz w:val="24"/>
          <w:szCs w:val="24"/>
        </w:rPr>
      </w:pPr>
      <w:r w:rsidRPr="006528B6">
        <w:rPr>
          <w:rFonts w:ascii="Times New Roman" w:hAnsi="Times New Roman" w:cs="Times New Roman"/>
          <w:sz w:val="24"/>
          <w:szCs w:val="24"/>
        </w:rPr>
        <w:t>Cresce l’offerta di nuovi servizi e di possibili ambiti operativi per imprese di minori dimensioni come le imprese che offrono servizi tramite tecnologia Fixed Wireless Access (FWA), segmento che nel complesso si stima aver raggiunto, nel 2020, il valore di 370 milioni di euro e a seguire gli operatori cosiddetti virtuali (MVNO) per i quali si evidenzia un giro di affari arrivato a superare i 700 milioni di euro.</w:t>
      </w:r>
    </w:p>
    <w:p w14:paraId="769C4E5F" w14:textId="043023C8" w:rsidR="00773E83" w:rsidRPr="006528B6" w:rsidRDefault="00897B0A" w:rsidP="00773E83">
      <w:pPr>
        <w:pStyle w:val="Paragrafoelenco"/>
        <w:numPr>
          <w:ilvl w:val="0"/>
          <w:numId w:val="1"/>
        </w:numPr>
        <w:autoSpaceDE w:val="0"/>
        <w:autoSpaceDN w:val="0"/>
        <w:adjustRightInd w:val="0"/>
        <w:spacing w:after="0" w:line="240" w:lineRule="auto"/>
        <w:jc w:val="both"/>
        <w:rPr>
          <w:rFonts w:ascii="Times New Roman" w:eastAsia="Optima-Regular" w:hAnsi="Times New Roman" w:cs="Times New Roman"/>
          <w:color w:val="FF0000"/>
          <w:sz w:val="24"/>
          <w:szCs w:val="24"/>
        </w:rPr>
      </w:pPr>
      <w:r w:rsidRPr="006528B6">
        <w:rPr>
          <w:rFonts w:ascii="Times New Roman" w:hAnsi="Times New Roman" w:cs="Times New Roman"/>
          <w:sz w:val="24"/>
          <w:szCs w:val="24"/>
        </w:rPr>
        <w:t>Emerge l’importanza dei servizi dati i cui introiti sono cresciuti del 2,9%, mentre quelli derivanti dai servizi vocali hanno fortemente accentuato la ormai progressiva marginalità (-21,8%).</w:t>
      </w:r>
    </w:p>
    <w:p w14:paraId="65E09CD2" w14:textId="71C28189" w:rsidR="00B421EE" w:rsidRPr="006528B6" w:rsidRDefault="00B421EE" w:rsidP="00B421EE">
      <w:pPr>
        <w:pStyle w:val="Paragrafoelenco"/>
        <w:numPr>
          <w:ilvl w:val="0"/>
          <w:numId w:val="1"/>
        </w:numPr>
        <w:autoSpaceDE w:val="0"/>
        <w:autoSpaceDN w:val="0"/>
        <w:adjustRightInd w:val="0"/>
        <w:spacing w:after="0" w:line="240" w:lineRule="auto"/>
        <w:jc w:val="both"/>
        <w:rPr>
          <w:rFonts w:ascii="Times New Roman" w:hAnsi="Times New Roman" w:cs="Times New Roman"/>
          <w:sz w:val="24"/>
          <w:szCs w:val="24"/>
        </w:rPr>
      </w:pPr>
      <w:r w:rsidRPr="006528B6">
        <w:rPr>
          <w:rFonts w:ascii="Times New Roman" w:hAnsi="Times New Roman" w:cs="Times New Roman"/>
          <w:sz w:val="24"/>
          <w:szCs w:val="24"/>
        </w:rPr>
        <w:lastRenderedPageBreak/>
        <w:t xml:space="preserve">Crescono gli abbonamenti </w:t>
      </w:r>
      <w:r w:rsidRPr="006528B6">
        <w:rPr>
          <w:rFonts w:ascii="Times New Roman" w:hAnsi="Times New Roman" w:cs="Times New Roman"/>
          <w:i/>
          <w:iCs/>
          <w:sz w:val="24"/>
          <w:szCs w:val="24"/>
        </w:rPr>
        <w:t>broadband</w:t>
      </w:r>
      <w:r w:rsidRPr="006528B6">
        <w:rPr>
          <w:rFonts w:ascii="Times New Roman" w:hAnsi="Times New Roman" w:cs="Times New Roman"/>
          <w:sz w:val="24"/>
          <w:szCs w:val="24"/>
        </w:rPr>
        <w:t xml:space="preserve"> e </w:t>
      </w:r>
      <w:r w:rsidRPr="006528B6">
        <w:rPr>
          <w:rFonts w:ascii="Times New Roman" w:hAnsi="Times New Roman" w:cs="Times New Roman"/>
          <w:i/>
          <w:iCs/>
          <w:sz w:val="24"/>
          <w:szCs w:val="24"/>
        </w:rPr>
        <w:t>ultrabroadband</w:t>
      </w:r>
      <w:r w:rsidRPr="006528B6">
        <w:rPr>
          <w:rFonts w:ascii="Times New Roman" w:hAnsi="Times New Roman" w:cs="Times New Roman"/>
          <w:sz w:val="24"/>
          <w:szCs w:val="24"/>
        </w:rPr>
        <w:t>, la cui consistenza media ha raggiunto lo scorso anno 17,9 milioni (+2,8%)</w:t>
      </w:r>
      <w:r w:rsidR="002F7F25" w:rsidRPr="006528B6">
        <w:rPr>
          <w:rFonts w:ascii="Times New Roman" w:hAnsi="Times New Roman" w:cs="Times New Roman"/>
          <w:sz w:val="24"/>
          <w:szCs w:val="24"/>
        </w:rPr>
        <w:t>,</w:t>
      </w:r>
      <w:r w:rsidRPr="006528B6">
        <w:rPr>
          <w:rFonts w:ascii="Times New Roman" w:hAnsi="Times New Roman" w:cs="Times New Roman"/>
          <w:sz w:val="24"/>
          <w:szCs w:val="24"/>
        </w:rPr>
        <w:t xml:space="preserve"> in particolare gli abbonamenti che prevedono maggiori velocità di connessione i cui prezzi unitari sono superiori alla media</w:t>
      </w:r>
      <w:r w:rsidR="009B2601" w:rsidRPr="006528B6">
        <w:rPr>
          <w:rFonts w:ascii="Times New Roman" w:hAnsi="Times New Roman" w:cs="Times New Roman"/>
          <w:sz w:val="24"/>
          <w:szCs w:val="24"/>
        </w:rPr>
        <w:t>.</w:t>
      </w:r>
    </w:p>
    <w:p w14:paraId="308E7EB2" w14:textId="7CF0A319" w:rsidR="004B1496" w:rsidRPr="006528B6" w:rsidRDefault="00216AA1" w:rsidP="00FB7813">
      <w:pPr>
        <w:pStyle w:val="Paragrafoelenco"/>
        <w:numPr>
          <w:ilvl w:val="0"/>
          <w:numId w:val="1"/>
        </w:numPr>
        <w:autoSpaceDE w:val="0"/>
        <w:autoSpaceDN w:val="0"/>
        <w:adjustRightInd w:val="0"/>
        <w:spacing w:after="0" w:line="240" w:lineRule="auto"/>
        <w:jc w:val="both"/>
        <w:rPr>
          <w:rFonts w:ascii="Garamond-Light" w:hAnsi="Garamond-Light" w:cs="Garamond-Light"/>
          <w:sz w:val="24"/>
          <w:szCs w:val="24"/>
        </w:rPr>
      </w:pPr>
      <w:r w:rsidRPr="006528B6">
        <w:rPr>
          <w:rFonts w:ascii="Times New Roman" w:hAnsi="Times New Roman" w:cs="Times New Roman"/>
          <w:sz w:val="24"/>
          <w:szCs w:val="24"/>
        </w:rPr>
        <w:t>C’è stata un’accelerazione, dovuta alla crisi pandemica, de</w:t>
      </w:r>
      <w:r w:rsidR="00B421EE" w:rsidRPr="006528B6">
        <w:rPr>
          <w:rFonts w:ascii="Times New Roman" w:hAnsi="Times New Roman" w:cs="Times New Roman"/>
          <w:sz w:val="24"/>
          <w:szCs w:val="24"/>
        </w:rPr>
        <w:t xml:space="preserve">i profondi mutamenti </w:t>
      </w:r>
      <w:r w:rsidRPr="006528B6">
        <w:rPr>
          <w:rFonts w:ascii="Times New Roman" w:hAnsi="Times New Roman" w:cs="Times New Roman"/>
          <w:sz w:val="24"/>
          <w:szCs w:val="24"/>
        </w:rPr>
        <w:t>già in atto da tempo</w:t>
      </w:r>
      <w:r w:rsidR="00B421EE" w:rsidRPr="006528B6">
        <w:rPr>
          <w:rFonts w:ascii="Times New Roman" w:hAnsi="Times New Roman" w:cs="Times New Roman"/>
          <w:sz w:val="24"/>
          <w:szCs w:val="24"/>
        </w:rPr>
        <w:t xml:space="preserve">: nel 2005 le linee </w:t>
      </w:r>
      <w:r w:rsidR="00B421EE" w:rsidRPr="006528B6">
        <w:rPr>
          <w:rFonts w:ascii="Times New Roman" w:hAnsi="Times New Roman" w:cs="Times New Roman"/>
          <w:i/>
          <w:iCs/>
          <w:sz w:val="24"/>
          <w:szCs w:val="24"/>
        </w:rPr>
        <w:t xml:space="preserve">broadband </w:t>
      </w:r>
      <w:r w:rsidR="00B421EE" w:rsidRPr="006528B6">
        <w:rPr>
          <w:rFonts w:ascii="Times New Roman" w:hAnsi="Times New Roman" w:cs="Times New Roman"/>
          <w:sz w:val="24"/>
          <w:szCs w:val="24"/>
        </w:rPr>
        <w:t>rappresentavano meno del 30% delle linee complessive e quelle più performanti in termini di velocità di connessione (FTTC/FTTH) erano sostanzialmente assenti</w:t>
      </w:r>
      <w:r w:rsidR="00FB7813" w:rsidRPr="006528B6">
        <w:rPr>
          <w:rFonts w:ascii="Times New Roman" w:hAnsi="Times New Roman" w:cs="Times New Roman"/>
          <w:sz w:val="24"/>
          <w:szCs w:val="24"/>
        </w:rPr>
        <w:t>; a</w:t>
      </w:r>
      <w:r w:rsidR="00B421EE" w:rsidRPr="006528B6">
        <w:rPr>
          <w:rFonts w:ascii="Times New Roman" w:hAnsi="Times New Roman" w:cs="Times New Roman"/>
          <w:sz w:val="24"/>
          <w:szCs w:val="24"/>
        </w:rPr>
        <w:t xml:space="preserve"> fine 2020, gli abbonamenti non broadband sono ormai residuali (7,5% del totale) mentre il complesso delle linee FTTC e FTTH ha superato il 55% del totale.</w:t>
      </w:r>
      <w:r w:rsidR="00CD5757" w:rsidRPr="006528B6">
        <w:rPr>
          <w:rFonts w:ascii="Times New Roman" w:hAnsi="Times New Roman" w:cs="Times New Roman"/>
          <w:sz w:val="24"/>
          <w:szCs w:val="24"/>
        </w:rPr>
        <w:t xml:space="preserve"> </w:t>
      </w:r>
    </w:p>
    <w:p w14:paraId="3F5F6A0A" w14:textId="32876285" w:rsidR="00B421EE" w:rsidRPr="006528B6" w:rsidRDefault="004B1496" w:rsidP="004B1496">
      <w:pPr>
        <w:pStyle w:val="Paragrafoelenco"/>
        <w:numPr>
          <w:ilvl w:val="0"/>
          <w:numId w:val="1"/>
        </w:numPr>
        <w:autoSpaceDE w:val="0"/>
        <w:autoSpaceDN w:val="0"/>
        <w:adjustRightInd w:val="0"/>
        <w:spacing w:after="0" w:line="240" w:lineRule="auto"/>
        <w:jc w:val="both"/>
        <w:rPr>
          <w:rFonts w:ascii="Times New Roman" w:hAnsi="Times New Roman" w:cs="Times New Roman"/>
          <w:color w:val="FF0000"/>
          <w:sz w:val="24"/>
          <w:szCs w:val="24"/>
        </w:rPr>
      </w:pPr>
      <w:r w:rsidRPr="006528B6">
        <w:rPr>
          <w:rFonts w:ascii="Times New Roman" w:hAnsi="Times New Roman" w:cs="Times New Roman"/>
          <w:sz w:val="24"/>
          <w:szCs w:val="24"/>
        </w:rPr>
        <w:t xml:space="preserve">Cresce il traffico dati in seguito al </w:t>
      </w:r>
      <w:r w:rsidR="00FB7813" w:rsidRPr="006528B6">
        <w:rPr>
          <w:rFonts w:ascii="Times New Roman" w:hAnsi="Times New Roman" w:cs="Times New Roman"/>
          <w:sz w:val="24"/>
          <w:szCs w:val="24"/>
        </w:rPr>
        <w:t>più intenso</w:t>
      </w:r>
      <w:r w:rsidRPr="006528B6">
        <w:rPr>
          <w:rFonts w:ascii="Times New Roman" w:hAnsi="Times New Roman" w:cs="Times New Roman"/>
          <w:sz w:val="24"/>
          <w:szCs w:val="24"/>
        </w:rPr>
        <w:t xml:space="preserve"> </w:t>
      </w:r>
      <w:r w:rsidR="00FB7813" w:rsidRPr="006528B6">
        <w:rPr>
          <w:rFonts w:ascii="Times New Roman" w:hAnsi="Times New Roman" w:cs="Times New Roman"/>
          <w:sz w:val="24"/>
          <w:szCs w:val="24"/>
        </w:rPr>
        <w:t>utilizzo delle linee a larga</w:t>
      </w:r>
      <w:r w:rsidRPr="006528B6">
        <w:rPr>
          <w:rFonts w:ascii="Times New Roman" w:hAnsi="Times New Roman" w:cs="Times New Roman"/>
          <w:sz w:val="24"/>
          <w:szCs w:val="24"/>
        </w:rPr>
        <w:t xml:space="preserve"> banda</w:t>
      </w:r>
      <w:r w:rsidR="00FB7813" w:rsidRPr="006528B6">
        <w:rPr>
          <w:rFonts w:ascii="Times New Roman" w:hAnsi="Times New Roman" w:cs="Times New Roman"/>
          <w:sz w:val="24"/>
          <w:szCs w:val="24"/>
        </w:rPr>
        <w:t>, tra il 2014 e il</w:t>
      </w:r>
      <w:r w:rsidRPr="006528B6">
        <w:rPr>
          <w:rFonts w:ascii="Times New Roman" w:hAnsi="Times New Roman" w:cs="Times New Roman"/>
          <w:sz w:val="24"/>
          <w:szCs w:val="24"/>
        </w:rPr>
        <w:t xml:space="preserve"> </w:t>
      </w:r>
      <w:r w:rsidR="00FB7813" w:rsidRPr="006528B6">
        <w:rPr>
          <w:rFonts w:ascii="Times New Roman" w:hAnsi="Times New Roman" w:cs="Times New Roman"/>
          <w:sz w:val="24"/>
          <w:szCs w:val="24"/>
        </w:rPr>
        <w:t>2020, è passato da una stima di 6.800 Petabyte</w:t>
      </w:r>
      <w:r w:rsidRPr="006528B6">
        <w:rPr>
          <w:rFonts w:ascii="Times New Roman" w:hAnsi="Times New Roman" w:cs="Times New Roman"/>
          <w:sz w:val="24"/>
          <w:szCs w:val="24"/>
        </w:rPr>
        <w:t xml:space="preserve"> </w:t>
      </w:r>
      <w:r w:rsidR="00FB7813" w:rsidRPr="006528B6">
        <w:rPr>
          <w:rFonts w:ascii="Times New Roman" w:hAnsi="Times New Roman" w:cs="Times New Roman"/>
          <w:sz w:val="24"/>
          <w:szCs w:val="24"/>
        </w:rPr>
        <w:t>ad oltre 39.000 (+474%). Ciò ha prodotto un aumento</w:t>
      </w:r>
      <w:r w:rsidRPr="006528B6">
        <w:rPr>
          <w:rFonts w:ascii="Times New Roman" w:hAnsi="Times New Roman" w:cs="Times New Roman"/>
          <w:sz w:val="24"/>
          <w:szCs w:val="24"/>
        </w:rPr>
        <w:t xml:space="preserve"> </w:t>
      </w:r>
      <w:r w:rsidR="00FB7813" w:rsidRPr="006528B6">
        <w:rPr>
          <w:rFonts w:ascii="Times New Roman" w:hAnsi="Times New Roman" w:cs="Times New Roman"/>
          <w:sz w:val="24"/>
          <w:szCs w:val="24"/>
        </w:rPr>
        <w:t xml:space="preserve">del traffico mensile per linea </w:t>
      </w:r>
      <w:r w:rsidR="00FB7813" w:rsidRPr="006528B6">
        <w:rPr>
          <w:rFonts w:ascii="Times New Roman" w:hAnsi="Times New Roman" w:cs="Times New Roman"/>
          <w:i/>
          <w:iCs/>
          <w:sz w:val="24"/>
          <w:szCs w:val="24"/>
        </w:rPr>
        <w:t>broadband</w:t>
      </w:r>
      <w:r w:rsidRPr="006528B6">
        <w:rPr>
          <w:rFonts w:ascii="Times New Roman" w:hAnsi="Times New Roman" w:cs="Times New Roman"/>
          <w:sz w:val="24"/>
          <w:szCs w:val="24"/>
        </w:rPr>
        <w:t xml:space="preserve">, per effetto della pandemia </w:t>
      </w:r>
      <w:r w:rsidR="00FB7813" w:rsidRPr="006528B6">
        <w:rPr>
          <w:rFonts w:ascii="Times New Roman" w:hAnsi="Times New Roman" w:cs="Times New Roman"/>
          <w:sz w:val="24"/>
          <w:szCs w:val="24"/>
        </w:rPr>
        <w:t>tra il 2019 e il 2020 vi è stato</w:t>
      </w:r>
      <w:r w:rsidRPr="006528B6">
        <w:rPr>
          <w:rFonts w:ascii="Times New Roman" w:hAnsi="Times New Roman" w:cs="Times New Roman"/>
          <w:sz w:val="24"/>
          <w:szCs w:val="24"/>
        </w:rPr>
        <w:t xml:space="preserve"> </w:t>
      </w:r>
      <w:r w:rsidR="00FB7813" w:rsidRPr="006528B6">
        <w:rPr>
          <w:rFonts w:ascii="Times New Roman" w:hAnsi="Times New Roman" w:cs="Times New Roman"/>
          <w:sz w:val="24"/>
          <w:szCs w:val="24"/>
        </w:rPr>
        <w:t>un incremento del traffico medio di oltre il 46%</w:t>
      </w:r>
      <w:r w:rsidRPr="006528B6">
        <w:rPr>
          <w:rFonts w:ascii="Times New Roman" w:hAnsi="Times New Roman" w:cs="Times New Roman"/>
          <w:sz w:val="24"/>
          <w:szCs w:val="24"/>
        </w:rPr>
        <w:t>.</w:t>
      </w:r>
    </w:p>
    <w:p w14:paraId="14A06AEC" w14:textId="4D2D67D4" w:rsidR="00073294" w:rsidRPr="006528B6" w:rsidRDefault="006C7722" w:rsidP="00554D87">
      <w:pPr>
        <w:pStyle w:val="Paragrafoelenco"/>
        <w:numPr>
          <w:ilvl w:val="0"/>
          <w:numId w:val="1"/>
        </w:numPr>
        <w:autoSpaceDE w:val="0"/>
        <w:autoSpaceDN w:val="0"/>
        <w:adjustRightInd w:val="0"/>
        <w:spacing w:after="0" w:line="240" w:lineRule="auto"/>
        <w:jc w:val="both"/>
        <w:rPr>
          <w:rFonts w:ascii="Garamond-Light" w:hAnsi="Garamond-Light" w:cs="Garamond-Light"/>
          <w:sz w:val="24"/>
          <w:szCs w:val="24"/>
        </w:rPr>
      </w:pPr>
      <w:r w:rsidRPr="006528B6">
        <w:rPr>
          <w:rFonts w:ascii="Times New Roman" w:hAnsi="Times New Roman" w:cs="Times New Roman"/>
          <w:color w:val="000000"/>
          <w:sz w:val="24"/>
          <w:szCs w:val="24"/>
        </w:rPr>
        <w:t xml:space="preserve">Nella </w:t>
      </w:r>
      <w:r w:rsidRPr="006528B6">
        <w:rPr>
          <w:rFonts w:ascii="Times New Roman" w:hAnsi="Times New Roman" w:cs="Times New Roman"/>
          <w:bCs/>
          <w:sz w:val="24"/>
          <w:szCs w:val="24"/>
        </w:rPr>
        <w:t>telefonia mobile</w:t>
      </w:r>
      <w:r w:rsidRPr="006528B6">
        <w:rPr>
          <w:rFonts w:ascii="Times New Roman" w:hAnsi="Times New Roman" w:cs="Times New Roman"/>
          <w:color w:val="000000"/>
          <w:sz w:val="24"/>
          <w:szCs w:val="24"/>
        </w:rPr>
        <w:t xml:space="preserve"> </w:t>
      </w:r>
      <w:r w:rsidR="008A0C19" w:rsidRPr="006528B6">
        <w:rPr>
          <w:rFonts w:ascii="Times New Roman" w:hAnsi="Times New Roman" w:cs="Times New Roman"/>
          <w:color w:val="000000"/>
          <w:sz w:val="24"/>
          <w:szCs w:val="24"/>
        </w:rPr>
        <w:t xml:space="preserve">si è assistito nel 2020 ad una contrazione </w:t>
      </w:r>
      <w:r w:rsidR="008A0C19" w:rsidRPr="006528B6">
        <w:rPr>
          <w:rFonts w:ascii="Times New Roman" w:hAnsi="Times New Roman" w:cs="Times New Roman"/>
          <w:sz w:val="24"/>
          <w:szCs w:val="24"/>
        </w:rPr>
        <w:t xml:space="preserve">dell’8,2% </w:t>
      </w:r>
      <w:r w:rsidR="008A0C19" w:rsidRPr="006528B6">
        <w:rPr>
          <w:rFonts w:ascii="Times New Roman" w:hAnsi="Times New Roman" w:cs="Times New Roman"/>
          <w:color w:val="000000"/>
          <w:sz w:val="24"/>
          <w:szCs w:val="24"/>
        </w:rPr>
        <w:t>delle</w:t>
      </w:r>
      <w:r w:rsidR="003260C4" w:rsidRPr="006528B6">
        <w:rPr>
          <w:rFonts w:ascii="Times New Roman" w:hAnsi="Times New Roman" w:cs="Times New Roman"/>
          <w:sz w:val="24"/>
          <w:szCs w:val="24"/>
        </w:rPr>
        <w:t xml:space="preserve"> risorse complessive generate dai servizi</w:t>
      </w:r>
      <w:r w:rsidR="008A0C19" w:rsidRPr="006528B6">
        <w:rPr>
          <w:rFonts w:ascii="Times New Roman" w:hAnsi="Times New Roman" w:cs="Times New Roman"/>
          <w:sz w:val="24"/>
          <w:szCs w:val="24"/>
        </w:rPr>
        <w:t xml:space="preserve"> </w:t>
      </w:r>
      <w:r w:rsidR="003260C4" w:rsidRPr="006528B6">
        <w:rPr>
          <w:rFonts w:ascii="Times New Roman" w:hAnsi="Times New Roman" w:cs="Times New Roman"/>
          <w:sz w:val="24"/>
          <w:szCs w:val="24"/>
        </w:rPr>
        <w:t>di rete mobile</w:t>
      </w:r>
      <w:r w:rsidR="00554D87" w:rsidRPr="006528B6">
        <w:rPr>
          <w:rFonts w:ascii="Times New Roman" w:hAnsi="Times New Roman" w:cs="Times New Roman"/>
          <w:sz w:val="24"/>
          <w:szCs w:val="24"/>
        </w:rPr>
        <w:t>,</w:t>
      </w:r>
      <w:r w:rsidR="003260C4" w:rsidRPr="006528B6">
        <w:rPr>
          <w:rFonts w:ascii="Times New Roman" w:hAnsi="Times New Roman" w:cs="Times New Roman"/>
          <w:sz w:val="24"/>
          <w:szCs w:val="24"/>
        </w:rPr>
        <w:t xml:space="preserve"> </w:t>
      </w:r>
      <w:r w:rsidR="008A0C19" w:rsidRPr="006528B6">
        <w:rPr>
          <w:rFonts w:ascii="Times New Roman" w:hAnsi="Times New Roman" w:cs="Times New Roman"/>
          <w:sz w:val="24"/>
          <w:szCs w:val="24"/>
        </w:rPr>
        <w:t xml:space="preserve">legata principalmente a dinamiche competitive, il fatturato da servizi voce mostra una riduzione molto contenuta (-1%), mentre quello relativo a servizi dati evidenzia una maggiore flessione (-11,7%); </w:t>
      </w:r>
      <w:r w:rsidR="00EF6703" w:rsidRPr="006528B6">
        <w:rPr>
          <w:rFonts w:ascii="Times New Roman" w:hAnsi="Times New Roman" w:cs="Times New Roman"/>
          <w:sz w:val="24"/>
          <w:szCs w:val="24"/>
        </w:rPr>
        <w:t>malgrado ciò,</w:t>
      </w:r>
      <w:r w:rsidR="008A0C19" w:rsidRPr="006528B6">
        <w:rPr>
          <w:rFonts w:ascii="Times New Roman" w:hAnsi="Times New Roman" w:cs="Times New Roman"/>
          <w:sz w:val="24"/>
          <w:szCs w:val="24"/>
        </w:rPr>
        <w:t xml:space="preserve"> i volumi hanno registrato consistenti incrementi a causa soprattutto delle limitazioni alla mobilità determinate dalla pandemia nel 2020.</w:t>
      </w:r>
      <w:r w:rsidR="00073294" w:rsidRPr="006528B6">
        <w:rPr>
          <w:rFonts w:ascii="Times New Roman" w:hAnsi="Times New Roman" w:cs="Times New Roman"/>
          <w:sz w:val="24"/>
          <w:szCs w:val="24"/>
        </w:rPr>
        <w:t xml:space="preserve"> </w:t>
      </w:r>
    </w:p>
    <w:p w14:paraId="31DD1A41" w14:textId="77777777" w:rsidR="00073294" w:rsidRPr="006528B6" w:rsidRDefault="00554D87" w:rsidP="00073294">
      <w:pPr>
        <w:pStyle w:val="Paragrafoelenco"/>
        <w:numPr>
          <w:ilvl w:val="0"/>
          <w:numId w:val="1"/>
        </w:numPr>
        <w:autoSpaceDE w:val="0"/>
        <w:autoSpaceDN w:val="0"/>
        <w:adjustRightInd w:val="0"/>
        <w:spacing w:after="0" w:line="240" w:lineRule="auto"/>
        <w:jc w:val="both"/>
        <w:rPr>
          <w:rFonts w:ascii="Times New Roman" w:eastAsia="Optima-Regular" w:hAnsi="Times New Roman" w:cs="Times New Roman"/>
          <w:sz w:val="24"/>
          <w:szCs w:val="24"/>
        </w:rPr>
      </w:pPr>
      <w:r w:rsidRPr="006528B6">
        <w:rPr>
          <w:rFonts w:ascii="Times New Roman" w:hAnsi="Times New Roman" w:cs="Times New Roman"/>
          <w:color w:val="000000"/>
          <w:sz w:val="24"/>
          <w:szCs w:val="24"/>
        </w:rPr>
        <w:t>I consumi di servizi vocali, anche per l’incremento del traffico registrato da Iliad, sono cresciuti del 17,4% su base annua; i consumi di servizi dati, nonostante una sensibile attenuazione dell’aumento delle SIM degli utenti che effettuano traffico dati, sono cresciuti in misura consistente: il 50% su base annua. L’utilizzo degli SMS, viceversa, risulta sempre più marginale, confermando il processo di progressiva affermazione delle forme di comunicazioni veicolate da piattaforme online.</w:t>
      </w:r>
      <w:r w:rsidR="00073294" w:rsidRPr="006528B6">
        <w:rPr>
          <w:rFonts w:ascii="Times New Roman" w:hAnsi="Times New Roman" w:cs="Times New Roman"/>
          <w:color w:val="000000"/>
          <w:sz w:val="24"/>
          <w:szCs w:val="24"/>
        </w:rPr>
        <w:t xml:space="preserve"> </w:t>
      </w:r>
    </w:p>
    <w:p w14:paraId="45454834" w14:textId="0A45002A" w:rsidR="00554D87" w:rsidRPr="006528B6" w:rsidRDefault="00073294" w:rsidP="00073294">
      <w:pPr>
        <w:pStyle w:val="Paragrafoelenco"/>
        <w:numPr>
          <w:ilvl w:val="0"/>
          <w:numId w:val="1"/>
        </w:numPr>
        <w:autoSpaceDE w:val="0"/>
        <w:autoSpaceDN w:val="0"/>
        <w:adjustRightInd w:val="0"/>
        <w:spacing w:after="0" w:line="240" w:lineRule="auto"/>
        <w:jc w:val="both"/>
        <w:rPr>
          <w:rFonts w:ascii="Times New Roman" w:eastAsia="Optima-Regular" w:hAnsi="Times New Roman" w:cs="Times New Roman"/>
          <w:sz w:val="24"/>
          <w:szCs w:val="24"/>
        </w:rPr>
      </w:pPr>
      <w:r w:rsidRPr="006528B6">
        <w:rPr>
          <w:rFonts w:ascii="Times New Roman" w:hAnsi="Times New Roman" w:cs="Times New Roman"/>
          <w:sz w:val="24"/>
          <w:szCs w:val="24"/>
        </w:rPr>
        <w:t xml:space="preserve">Nel 2020, non sembra essersi attenuata la pressione concorrenziale seguita all’ingresso sul mercato, a metà del 2018, di Iliad, la maggiore domanda nel consumo di dati dovuta alla forte crescita dell’utilizzo di applicativi collegabili alla didattica a distanza, al lavoro a distanza e </w:t>
      </w:r>
      <w:r w:rsidRPr="006528B6">
        <w:rPr>
          <w:rFonts w:ascii="Times New Roman" w:hAnsi="Times New Roman" w:cs="Times New Roman"/>
          <w:i/>
          <w:iCs/>
          <w:sz w:val="24"/>
          <w:szCs w:val="24"/>
        </w:rPr>
        <w:t xml:space="preserve">streaming </w:t>
      </w:r>
      <w:r w:rsidRPr="006528B6">
        <w:rPr>
          <w:rFonts w:ascii="Times New Roman" w:hAnsi="Times New Roman" w:cs="Times New Roman"/>
          <w:sz w:val="24"/>
          <w:szCs w:val="24"/>
        </w:rPr>
        <w:t>di contenuti video è stata ampiamente controbilanciata dalla competizione sui prezzi che caratterizza il contesto di mercato e, pertanto, nel corso dell’anno si è registrata una flessione dei ricavi unitari.</w:t>
      </w:r>
    </w:p>
    <w:p w14:paraId="663F209D" w14:textId="77777777" w:rsidR="006035DE" w:rsidRPr="006528B6" w:rsidRDefault="006035DE" w:rsidP="006035DE">
      <w:pPr>
        <w:autoSpaceDE w:val="0"/>
        <w:autoSpaceDN w:val="0"/>
        <w:adjustRightInd w:val="0"/>
        <w:spacing w:after="0" w:line="240" w:lineRule="auto"/>
        <w:ind w:left="709"/>
        <w:jc w:val="both"/>
        <w:rPr>
          <w:rFonts w:ascii="Times New Roman" w:eastAsia="Optima-Regular" w:hAnsi="Times New Roman" w:cs="Times New Roman"/>
          <w:sz w:val="24"/>
          <w:szCs w:val="24"/>
        </w:rPr>
      </w:pPr>
    </w:p>
    <w:p w14:paraId="629E43BF" w14:textId="5B4342CC" w:rsidR="005A7BAD" w:rsidRPr="006528B6" w:rsidRDefault="00877A98" w:rsidP="004E69C3">
      <w:pPr>
        <w:autoSpaceDE w:val="0"/>
        <w:autoSpaceDN w:val="0"/>
        <w:adjustRightInd w:val="0"/>
        <w:spacing w:after="0" w:line="240" w:lineRule="auto"/>
        <w:ind w:firstLine="708"/>
        <w:jc w:val="both"/>
        <w:rPr>
          <w:rFonts w:ascii="Times New Roman" w:hAnsi="Times New Roman" w:cs="Times New Roman"/>
          <w:sz w:val="24"/>
          <w:szCs w:val="24"/>
        </w:rPr>
      </w:pPr>
      <w:r w:rsidRPr="006528B6">
        <w:rPr>
          <w:rFonts w:ascii="Times New Roman" w:hAnsi="Times New Roman" w:cs="Times New Roman"/>
          <w:sz w:val="24"/>
          <w:szCs w:val="24"/>
        </w:rPr>
        <w:t>Sotto il profilo della concorrenzialità del settore, nelle telecomunicazioni di rete fissa prosegue il trend discendente della quota di mercato dell’operatore incumbent (42%) ridottasi nell’ultimo anno di 2 punti nel segmento più concorrenziale dei servizi broadband retail; nella stessa direzione anche gli indici di concentrazione (</w:t>
      </w:r>
      <w:r w:rsidR="00944D83" w:rsidRPr="006528B6">
        <w:rPr>
          <w:rFonts w:ascii="Times New Roman" w:hAnsi="Times New Roman" w:cs="Times New Roman"/>
          <w:sz w:val="24"/>
          <w:szCs w:val="24"/>
        </w:rPr>
        <w:t xml:space="preserve">Indice </w:t>
      </w:r>
      <w:r w:rsidR="001660CD" w:rsidRPr="006528B6">
        <w:rPr>
          <w:rFonts w:ascii="Times New Roman" w:hAnsi="Times New Roman" w:cs="Times New Roman"/>
          <w:sz w:val="24"/>
          <w:szCs w:val="24"/>
        </w:rPr>
        <w:t xml:space="preserve">HHI </w:t>
      </w:r>
      <w:r w:rsidR="00944D83" w:rsidRPr="006528B6">
        <w:rPr>
          <w:rFonts w:ascii="Times New Roman" w:hAnsi="Times New Roman" w:cs="Times New Roman"/>
          <w:sz w:val="24"/>
          <w:szCs w:val="24"/>
        </w:rPr>
        <w:t xml:space="preserve">- </w:t>
      </w:r>
      <w:r w:rsidR="001660CD" w:rsidRPr="006528B6">
        <w:rPr>
          <w:rFonts w:ascii="Times New Roman" w:hAnsi="Times New Roman" w:cs="Times New Roman"/>
          <w:sz w:val="24"/>
          <w:szCs w:val="24"/>
        </w:rPr>
        <w:t>Herfindahl-Hirschman Index è un indice di concentrazione del mercato calcolato come somma dei valori al quadrato delle quote di mercato di ciascun gruppo societario</w:t>
      </w:r>
      <w:r w:rsidRPr="006528B6">
        <w:rPr>
          <w:rFonts w:ascii="Times New Roman" w:hAnsi="Times New Roman" w:cs="Times New Roman"/>
          <w:sz w:val="24"/>
          <w:szCs w:val="24"/>
        </w:rPr>
        <w:t xml:space="preserve">), diminuiti di 138 punti (in termini di linee di accesso) e 58 punti (in termini di ricavi retail da servizi broadband). Il consolidarsi della concorrenza è visibile anche nei mercati all’ingrosso, dove si osserva l’avanzare del processo di risalita degli operatori concorrenti (OAO, Others Authorised Operators) verso servizi NGA forniti da TIM, indicativo sia di una maggiore capacità competitiva di tali soggetti, sia di un incremento degli investimenti in reti di nuova generazione. </w:t>
      </w:r>
    </w:p>
    <w:p w14:paraId="67A486E6" w14:textId="77777777" w:rsidR="005A7BAD" w:rsidRPr="006528B6" w:rsidRDefault="00877A98" w:rsidP="004E69C3">
      <w:pPr>
        <w:autoSpaceDE w:val="0"/>
        <w:autoSpaceDN w:val="0"/>
        <w:adjustRightInd w:val="0"/>
        <w:spacing w:after="0" w:line="240" w:lineRule="auto"/>
        <w:ind w:firstLine="708"/>
        <w:jc w:val="both"/>
        <w:rPr>
          <w:rFonts w:ascii="Times New Roman" w:hAnsi="Times New Roman" w:cs="Times New Roman"/>
          <w:sz w:val="24"/>
          <w:szCs w:val="24"/>
        </w:rPr>
      </w:pPr>
      <w:r w:rsidRPr="006528B6">
        <w:rPr>
          <w:rFonts w:ascii="Times New Roman" w:hAnsi="Times New Roman" w:cs="Times New Roman"/>
          <w:sz w:val="24"/>
          <w:szCs w:val="24"/>
        </w:rPr>
        <w:t xml:space="preserve">Il processo di progressiva infrastrutturazione di tali imprese comporta l’abbandono via via dei servizi wholesale su rete in rame (- 26% nell’ultimo anno) ai quali sempre più sono preferite soluzioni in fibra (+ 21% per i servizi SLU, VULA e bitstream NGA; +27% per i servizi FTTH e FWA). Tali parametri sono significativi di un processo concorrenziale avanzato, grazie all’impulso di una regolamentazione incentivante al quale si è aggiunto l’ingresso di Open Fiber, che ha dato una spinta alla competizione infrastrutturale e, da ultimo, il ruolo crescente degli operatori attivi nei servizi Fixed Wirelss Access (FWA). </w:t>
      </w:r>
    </w:p>
    <w:p w14:paraId="23FC2422" w14:textId="77777777" w:rsidR="00944D83" w:rsidRPr="006528B6" w:rsidRDefault="00877A98" w:rsidP="00944D83">
      <w:pPr>
        <w:autoSpaceDE w:val="0"/>
        <w:autoSpaceDN w:val="0"/>
        <w:adjustRightInd w:val="0"/>
        <w:spacing w:after="0" w:line="240" w:lineRule="auto"/>
        <w:ind w:firstLine="708"/>
        <w:jc w:val="both"/>
        <w:rPr>
          <w:rFonts w:ascii="Times New Roman" w:hAnsi="Times New Roman" w:cs="Times New Roman"/>
          <w:sz w:val="24"/>
          <w:szCs w:val="24"/>
        </w:rPr>
      </w:pPr>
      <w:r w:rsidRPr="006528B6">
        <w:rPr>
          <w:rFonts w:ascii="Times New Roman" w:hAnsi="Times New Roman" w:cs="Times New Roman"/>
          <w:sz w:val="24"/>
          <w:szCs w:val="24"/>
        </w:rPr>
        <w:lastRenderedPageBreak/>
        <w:t>Per ciò che riguarda gli investimenti in infrastrutture, nell’ultimo anno, per effetto della pandemia, si è assistito a un rallentamento degli investimenti nella rete fissa che, sebbene marginale (poco superiore all’1% nell’ultimo anno), interessa soprattutto gli operatori concorrenti (cd. OAO).</w:t>
      </w:r>
    </w:p>
    <w:p w14:paraId="55BAB157" w14:textId="565F603F" w:rsidR="005A7BAD" w:rsidRPr="006528B6" w:rsidRDefault="00877A98" w:rsidP="00944D83">
      <w:pPr>
        <w:autoSpaceDE w:val="0"/>
        <w:autoSpaceDN w:val="0"/>
        <w:adjustRightInd w:val="0"/>
        <w:spacing w:after="0" w:line="240" w:lineRule="auto"/>
        <w:ind w:firstLine="708"/>
        <w:jc w:val="both"/>
        <w:rPr>
          <w:rFonts w:ascii="Times New Roman" w:hAnsi="Times New Roman" w:cs="Times New Roman"/>
          <w:sz w:val="24"/>
          <w:szCs w:val="24"/>
        </w:rPr>
      </w:pPr>
      <w:r w:rsidRPr="006528B6">
        <w:rPr>
          <w:rFonts w:ascii="Times New Roman" w:hAnsi="Times New Roman" w:cs="Times New Roman"/>
          <w:sz w:val="24"/>
          <w:szCs w:val="24"/>
        </w:rPr>
        <w:t xml:space="preserve">Più accentuato, invece, è il calo che ha riguardato gli investimenti nella rete mobile (-20% circa), dove la dinamica concorrenziale è decisamente più accesa, i margini degli operatori più contenuti. Tuttavia, tale diminuzione è anche il fisiologico rimbalzo degli ingenti investimenti in frequenze 5G effettuati dagli operatori negli scorsi anni. </w:t>
      </w:r>
    </w:p>
    <w:p w14:paraId="7AF534D8" w14:textId="77777777" w:rsidR="00444EFD" w:rsidRPr="006528B6" w:rsidRDefault="00877A98" w:rsidP="00444EFD">
      <w:pPr>
        <w:autoSpaceDE w:val="0"/>
        <w:autoSpaceDN w:val="0"/>
        <w:adjustRightInd w:val="0"/>
        <w:spacing w:after="0" w:line="240" w:lineRule="auto"/>
        <w:ind w:firstLine="708"/>
        <w:jc w:val="both"/>
        <w:rPr>
          <w:rFonts w:ascii="Times New Roman" w:hAnsi="Times New Roman" w:cs="Times New Roman"/>
          <w:sz w:val="24"/>
          <w:szCs w:val="24"/>
        </w:rPr>
      </w:pPr>
      <w:r w:rsidRPr="006528B6">
        <w:rPr>
          <w:rFonts w:ascii="Times New Roman" w:hAnsi="Times New Roman" w:cs="Times New Roman"/>
          <w:sz w:val="24"/>
          <w:szCs w:val="24"/>
        </w:rPr>
        <w:t xml:space="preserve">Nonostante il quadro macroeconomico non favorevole, il settore ha mostrato una capacità di tenuta rispetto all’economia nel suo complesso che si riflette anche sullo sviluppo delle infrastrutture. La copertura della rete NGA si attesta nel 2020 a circa il 93% delle unità immobiliari, mentre la rete mobile 4G ha raggiunto sostanzialmente tutta la popolazione con valori di copertura pari al 99%. In particolare, gli investimenti si riflettono in reti e servizi di qualità superiore. Al riguardo, le linee in fibra (FTTC, FTTH e FWA) rappresentano circa il 64% delle linee complessive, in crescita di 9 punti in un anno, segno tangibile di uno sforzo crescente per la realizzazione delle reti a elevata ed elevatissima velocità, sotto la spinta anche della domanda di connettività, in aumento nell’ultimo anno a causa dell’emergenza sanitaria. </w:t>
      </w:r>
    </w:p>
    <w:p w14:paraId="1659DCD2" w14:textId="77777777" w:rsidR="00444EFD" w:rsidRPr="006528B6" w:rsidRDefault="00877A98" w:rsidP="00444EFD">
      <w:pPr>
        <w:autoSpaceDE w:val="0"/>
        <w:autoSpaceDN w:val="0"/>
        <w:adjustRightInd w:val="0"/>
        <w:spacing w:after="0" w:line="240" w:lineRule="auto"/>
        <w:ind w:firstLine="708"/>
        <w:jc w:val="both"/>
        <w:rPr>
          <w:rFonts w:ascii="Times New Roman" w:hAnsi="Times New Roman" w:cs="Times New Roman"/>
          <w:sz w:val="24"/>
          <w:szCs w:val="24"/>
        </w:rPr>
      </w:pPr>
      <w:r w:rsidRPr="006528B6">
        <w:rPr>
          <w:rFonts w:ascii="Times New Roman" w:hAnsi="Times New Roman" w:cs="Times New Roman"/>
          <w:sz w:val="24"/>
          <w:szCs w:val="24"/>
        </w:rPr>
        <w:t>Dal punto di vista della penetrazione del servizio, le linee con velocità superiore a 30Mps e superiore a 100 Mbps sul totale delle linee broadband sono entrambe aumentate, sebbene la crescita sia contenuta (meno di 1 punto percentuale) e mostri significative differenze territoriali se si osservano i dati relativi alla penetrazione in % della popolazione</w:t>
      </w:r>
      <w:r w:rsidR="00444EFD" w:rsidRPr="006528B6">
        <w:rPr>
          <w:rFonts w:ascii="Times New Roman" w:hAnsi="Times New Roman" w:cs="Times New Roman"/>
          <w:sz w:val="24"/>
          <w:szCs w:val="24"/>
        </w:rPr>
        <w:t>.</w:t>
      </w:r>
      <w:r w:rsidRPr="006528B6">
        <w:rPr>
          <w:rFonts w:ascii="Times New Roman" w:hAnsi="Times New Roman" w:cs="Times New Roman"/>
          <w:sz w:val="24"/>
          <w:szCs w:val="24"/>
        </w:rPr>
        <w:t xml:space="preserve"> In effetti, la diffusione dei servizi a banda ultra-larga rappresenta ancora un problema strutturale nazionale, in cui il deficit di domanda costituisce, come più volte richiamato dall’Autorità, un </w:t>
      </w:r>
      <w:r w:rsidR="00444EFD" w:rsidRPr="006528B6">
        <w:rPr>
          <w:rFonts w:ascii="Times New Roman" w:hAnsi="Times New Roman" w:cs="Times New Roman"/>
          <w:sz w:val="24"/>
          <w:szCs w:val="24"/>
        </w:rPr>
        <w:t xml:space="preserve">serio ostacolo alla digitalizzazione del Paese. </w:t>
      </w:r>
    </w:p>
    <w:p w14:paraId="12159A6B" w14:textId="77777777" w:rsidR="00444EFD" w:rsidRPr="006528B6" w:rsidRDefault="00877A98" w:rsidP="00444EFD">
      <w:pPr>
        <w:autoSpaceDE w:val="0"/>
        <w:autoSpaceDN w:val="0"/>
        <w:adjustRightInd w:val="0"/>
        <w:spacing w:after="0" w:line="240" w:lineRule="auto"/>
        <w:ind w:firstLine="708"/>
        <w:jc w:val="both"/>
        <w:rPr>
          <w:rFonts w:ascii="Times New Roman" w:hAnsi="Times New Roman" w:cs="Times New Roman"/>
          <w:sz w:val="24"/>
          <w:szCs w:val="24"/>
        </w:rPr>
      </w:pPr>
      <w:r w:rsidRPr="006528B6">
        <w:rPr>
          <w:rFonts w:ascii="Times New Roman" w:hAnsi="Times New Roman" w:cs="Times New Roman"/>
          <w:sz w:val="24"/>
          <w:szCs w:val="24"/>
        </w:rPr>
        <w:t xml:space="preserve">Con riferimento agli effetti della regolamentazione sugli utenti finali, il livello dei prezzi dei servizi fornisce una primaria indicazione dei benefici della concorrenza e del miglioramento del benessere del consumatore. Gli indici dei prezzi dei diversi servizi al dettaglio (servizi di base di rete fissa, servizi di connettività fissa e di connettività mobile) sono tutti, da anni, ben al di sotto dell’indice generale dei prezzi, ad eccezione di quelli dei servizi di accesso e di base di rete fissa (poco al di sopra), denotando un’evoluzione positiva di cui beneficiano gli utenti finali. </w:t>
      </w:r>
    </w:p>
    <w:p w14:paraId="287CF7D3" w14:textId="77777777" w:rsidR="00553FEE" w:rsidRPr="006528B6" w:rsidRDefault="00877A98" w:rsidP="00444EFD">
      <w:pPr>
        <w:autoSpaceDE w:val="0"/>
        <w:autoSpaceDN w:val="0"/>
        <w:adjustRightInd w:val="0"/>
        <w:spacing w:after="0" w:line="240" w:lineRule="auto"/>
        <w:ind w:firstLine="708"/>
        <w:jc w:val="both"/>
        <w:rPr>
          <w:rFonts w:ascii="Times New Roman" w:hAnsi="Times New Roman" w:cs="Times New Roman"/>
          <w:sz w:val="24"/>
          <w:szCs w:val="24"/>
        </w:rPr>
      </w:pPr>
      <w:r w:rsidRPr="006528B6">
        <w:rPr>
          <w:rFonts w:ascii="Times New Roman" w:hAnsi="Times New Roman" w:cs="Times New Roman"/>
          <w:sz w:val="24"/>
          <w:szCs w:val="24"/>
        </w:rPr>
        <w:t>Nel quadro di una stabilità e di una complessiva abbordabilità dei prezzi dei servizi retail, sostenute dalla regolamentazione nei mercati all’ingrosso e dalle dinamiche concorrenziali nei mercati al dettaglio, l’azione a tutela degli utenti si esplica anche con una serie di altre attività da parte dell’Autorità che trovano riscontro nel livello di qualità dei servizi. Nell’ambito del servizio universale, in particolare, si registra il rispetto degli standard di qualità da parte di TIM e lo scostamento positivo crescente tra obiettivi fissati e risultati raggiunti, evidenziato dall’andamento dell’indice di qualità globale (IQG</w:t>
      </w:r>
      <w:r w:rsidR="00444EFD" w:rsidRPr="006528B6">
        <w:rPr>
          <w:rFonts w:ascii="Times New Roman" w:hAnsi="Times New Roman" w:cs="Times New Roman"/>
          <w:sz w:val="24"/>
          <w:szCs w:val="24"/>
        </w:rPr>
        <w:t xml:space="preserve">). </w:t>
      </w:r>
    </w:p>
    <w:p w14:paraId="7065F794" w14:textId="742EDCF5" w:rsidR="00877A98" w:rsidRPr="006528B6" w:rsidRDefault="00877A98" w:rsidP="00444EFD">
      <w:pPr>
        <w:autoSpaceDE w:val="0"/>
        <w:autoSpaceDN w:val="0"/>
        <w:adjustRightInd w:val="0"/>
        <w:spacing w:after="0" w:line="240" w:lineRule="auto"/>
        <w:ind w:firstLine="708"/>
        <w:jc w:val="both"/>
        <w:rPr>
          <w:rFonts w:ascii="Times New Roman" w:hAnsi="Times New Roman" w:cs="Times New Roman"/>
          <w:sz w:val="24"/>
          <w:szCs w:val="24"/>
        </w:rPr>
      </w:pPr>
      <w:r w:rsidRPr="006528B6">
        <w:rPr>
          <w:rFonts w:ascii="Times New Roman" w:hAnsi="Times New Roman" w:cs="Times New Roman"/>
          <w:sz w:val="24"/>
          <w:szCs w:val="24"/>
        </w:rPr>
        <w:t>Sulla rete mobile, invece, le campagne di test effettuate nell’ambito dei progetti speciali per la qualità della rete</w:t>
      </w:r>
      <w:r w:rsidR="00553FEE" w:rsidRPr="006528B6">
        <w:rPr>
          <w:rFonts w:ascii="Times New Roman" w:hAnsi="Times New Roman" w:cs="Times New Roman"/>
          <w:sz w:val="24"/>
          <w:szCs w:val="24"/>
        </w:rPr>
        <w:t xml:space="preserve"> </w:t>
      </w:r>
      <w:r w:rsidRPr="006528B6">
        <w:rPr>
          <w:rFonts w:ascii="Times New Roman" w:hAnsi="Times New Roman" w:cs="Times New Roman"/>
          <w:sz w:val="24"/>
          <w:szCs w:val="24"/>
        </w:rPr>
        <w:t xml:space="preserve">fanno registrare un continuo e deciso aumento delle prestazioni dei servizi 4G di accesso a Internet soprattutto in termini di velocità di download. Restano naturalmente le problematiche di ordine contrattuale tra utenti e operatori che impegnano in maniera continuativa sia l’Autorità sia i Co.re.com., in particolare, per ciò che riguarda la risoluzione delle controversie tra utenti e operatori. Come visto, infatti, l’intervento a tutela degli utenti si sviluppa in più ambiti: tra questi la regolamentazione, con una tutela specifica delle fasce più deboli economicamente e dei disabili, l’attività di vigilanza assistita anche dall’analisi delle segnalazioni degli utenti, l’attività di risoluzione delle controversie, che oltre ad avere un impatto immediato sulla fruizione dei servizi da parte degli utenti, rappresenta per l’Autorità indirettamente uno strumento di analisi e di monitoraggio costante del mercato al dettaglio. Relativamente a quest’ultimo ambito, si conferma un’elevata percentuale di controversie risolte con accordo, sia presso AGCOM (circa il 79%) sia presso i Co.re.com. (circa 97%), dato che mostra l’utilità dello strumento della conciliazione, ormai consolidato, e che suggerisce anche come vi sia una buona risposta da parte dell’utenza rispetto all’introduzione della piattaforma ConciliaWeb. All’esito delle attività di risoluzione delle </w:t>
      </w:r>
      <w:r w:rsidRPr="006528B6">
        <w:rPr>
          <w:rFonts w:ascii="Times New Roman" w:hAnsi="Times New Roman" w:cs="Times New Roman"/>
          <w:sz w:val="24"/>
          <w:szCs w:val="24"/>
        </w:rPr>
        <w:lastRenderedPageBreak/>
        <w:t>controversie, ai consumatori è stato restituito quest’anno, tra rimborsi e indennizzi, una cifra superiore ai 15 milioni di euro, che rappresenta un vantaggio economico diretto derivante dalla presenza del regolatore nel settore. In questa cornice, l’impegno dell’Autorità è garantire che tali attività proseguano speditamente, così da rimuovere ogni ostacolo alla tempestiva e completa attuazione dei piani di investimento privati e pubblici nelle reti a banda ultra-larga, che subiranno auspicabilmente un’accelerazione con l’avvio dei progetti per l’attuazione della Missione 1 previsti nel PNRR. Resta, tuttavia, da considerare che la piena efficacia dell’azione regolamentare in questo ambito è strettamente legata anche al recepimento del Codice europeo delle comunicazioni elettroniche, come già anticipato, ancora in corso in Italia. Quest’ultimo, infatti, prevede regole aggiornate che, nel solco degli obiettivi fondanti di promozione della concorrenza e degli investimenti, amplia la nozione di “servizi di comunicazione elettronica”, ricomprendendovi l’attività delle piattaforme online che forniscono servizi sostituti stretti dei tradizionali servizi di comunicazione interpersonale, introducendo, in tal modo, tutele ulteriori anche a vantaggio degli utenti</w:t>
      </w:r>
      <w:r w:rsidR="00105D74" w:rsidRPr="006528B6">
        <w:rPr>
          <w:rFonts w:ascii="Times New Roman" w:hAnsi="Times New Roman" w:cs="Times New Roman"/>
          <w:sz w:val="24"/>
          <w:szCs w:val="24"/>
        </w:rPr>
        <w:t>.</w:t>
      </w:r>
    </w:p>
    <w:p w14:paraId="5E0D51FA" w14:textId="77777777" w:rsidR="004A15B4" w:rsidRPr="006528B6" w:rsidRDefault="004A15B4" w:rsidP="004A15B4">
      <w:pPr>
        <w:spacing w:after="0" w:line="240" w:lineRule="auto"/>
        <w:ind w:firstLine="709"/>
        <w:jc w:val="both"/>
        <w:rPr>
          <w:rFonts w:ascii="Times New Roman" w:eastAsia="Calibri" w:hAnsi="Times New Roman" w:cs="Times New Roman"/>
          <w:sz w:val="24"/>
          <w:szCs w:val="24"/>
        </w:rPr>
      </w:pPr>
    </w:p>
    <w:p w14:paraId="68DBE8F7" w14:textId="77777777" w:rsidR="000002F7" w:rsidRPr="006528B6" w:rsidRDefault="000002F7" w:rsidP="00213BAD">
      <w:pPr>
        <w:spacing w:after="0" w:line="240" w:lineRule="auto"/>
        <w:ind w:firstLine="709"/>
        <w:jc w:val="both"/>
        <w:rPr>
          <w:rFonts w:ascii="Times New Roman" w:eastAsia="Calibri" w:hAnsi="Times New Roman" w:cs="Times New Roman"/>
          <w:i/>
          <w:sz w:val="24"/>
          <w:szCs w:val="24"/>
        </w:rPr>
      </w:pPr>
      <w:r w:rsidRPr="006528B6">
        <w:rPr>
          <w:rFonts w:ascii="Times New Roman" w:eastAsia="Calibri" w:hAnsi="Times New Roman" w:cs="Times New Roman"/>
          <w:i/>
          <w:sz w:val="24"/>
          <w:szCs w:val="24"/>
        </w:rPr>
        <w:t>Le dinamiche del settore</w:t>
      </w:r>
    </w:p>
    <w:p w14:paraId="57854051" w14:textId="77777777" w:rsidR="00D26CC6" w:rsidRPr="006528B6" w:rsidRDefault="00D26CC6" w:rsidP="00213BAD">
      <w:pPr>
        <w:spacing w:after="0" w:line="240" w:lineRule="auto"/>
        <w:ind w:firstLine="709"/>
        <w:jc w:val="both"/>
        <w:rPr>
          <w:rFonts w:ascii="Times New Roman" w:eastAsia="Calibri" w:hAnsi="Times New Roman" w:cs="Times New Roman"/>
          <w:i/>
          <w:sz w:val="24"/>
          <w:szCs w:val="24"/>
        </w:rPr>
      </w:pPr>
    </w:p>
    <w:p w14:paraId="58E3C2A6" w14:textId="77777777" w:rsidR="00A1507A" w:rsidRPr="006528B6" w:rsidRDefault="00A1507A" w:rsidP="00A1507A">
      <w:pPr>
        <w:autoSpaceDE w:val="0"/>
        <w:autoSpaceDN w:val="0"/>
        <w:adjustRightInd w:val="0"/>
        <w:spacing w:after="0" w:line="240" w:lineRule="auto"/>
        <w:ind w:firstLine="709"/>
        <w:jc w:val="both"/>
        <w:rPr>
          <w:rFonts w:ascii="Times New Roman" w:hAnsi="Times New Roman" w:cs="Times New Roman"/>
          <w:sz w:val="24"/>
          <w:szCs w:val="24"/>
        </w:rPr>
      </w:pPr>
      <w:r w:rsidRPr="006528B6">
        <w:rPr>
          <w:rFonts w:ascii="Times New Roman" w:hAnsi="Times New Roman" w:cs="Times New Roman"/>
          <w:sz w:val="24"/>
          <w:szCs w:val="24"/>
        </w:rPr>
        <w:t xml:space="preserve">La questione della digitalizzazione e della garanzia di adeguate infrastrutture di rete è venuta prepotentemente alla ribalta durante il lockdown, nel corso del quale è emersa una grande richiesta di connettività a supporto di quei servizi il cui utilizzo, per effetto delle misure volte a contenere la diffusione del virus, è cresciuto in maniera particolarmente significativa, quali il lavoro a distanza nel settore privato e nella pubblica amministrazione, la didattica a distanza nella scuola e i servizi di </w:t>
      </w:r>
      <w:r w:rsidRPr="006528B6">
        <w:rPr>
          <w:rFonts w:ascii="Times New Roman" w:hAnsi="Times New Roman" w:cs="Times New Roman"/>
          <w:i/>
          <w:iCs/>
          <w:sz w:val="24"/>
          <w:szCs w:val="24"/>
        </w:rPr>
        <w:t xml:space="preserve">videostreaming </w:t>
      </w:r>
      <w:r w:rsidRPr="006528B6">
        <w:rPr>
          <w:rFonts w:ascii="Times New Roman" w:hAnsi="Times New Roman" w:cs="Times New Roman"/>
          <w:sz w:val="24"/>
          <w:szCs w:val="24"/>
        </w:rPr>
        <w:t>nel consumo domestico.</w:t>
      </w:r>
    </w:p>
    <w:p w14:paraId="34AF4F6B" w14:textId="77777777" w:rsidR="00A1507A" w:rsidRPr="006528B6" w:rsidRDefault="00A1507A" w:rsidP="00A1507A">
      <w:pPr>
        <w:autoSpaceDE w:val="0"/>
        <w:autoSpaceDN w:val="0"/>
        <w:adjustRightInd w:val="0"/>
        <w:spacing w:after="0" w:line="240" w:lineRule="auto"/>
        <w:ind w:firstLine="709"/>
        <w:jc w:val="both"/>
        <w:rPr>
          <w:rFonts w:ascii="Times New Roman" w:hAnsi="Times New Roman" w:cs="Times New Roman"/>
          <w:sz w:val="24"/>
          <w:szCs w:val="24"/>
        </w:rPr>
      </w:pPr>
      <w:r w:rsidRPr="006528B6">
        <w:rPr>
          <w:rFonts w:ascii="Times New Roman" w:hAnsi="Times New Roman" w:cs="Times New Roman"/>
          <w:sz w:val="24"/>
          <w:szCs w:val="24"/>
        </w:rPr>
        <w:t>Gli effetti della crisi pandemica si sono riverberati anche nel settore delle comunicazioni elettroniche, che ha mostrato una flessione, in termini di risorse complessive del 4,8%. La contrazione appare più marcata nella rete mobile (-5,9%), mentre la rete fissa mostra riduzioni più contenute (-3,8%).</w:t>
      </w:r>
    </w:p>
    <w:p w14:paraId="4486920A" w14:textId="77777777" w:rsidR="00A1507A" w:rsidRPr="006528B6" w:rsidRDefault="00A1507A" w:rsidP="00A1507A">
      <w:pPr>
        <w:autoSpaceDE w:val="0"/>
        <w:autoSpaceDN w:val="0"/>
        <w:adjustRightInd w:val="0"/>
        <w:spacing w:after="0" w:line="240" w:lineRule="auto"/>
        <w:ind w:firstLine="709"/>
        <w:jc w:val="both"/>
        <w:rPr>
          <w:rFonts w:ascii="Times New Roman" w:hAnsi="Times New Roman" w:cs="Times New Roman"/>
          <w:sz w:val="24"/>
          <w:szCs w:val="24"/>
        </w:rPr>
      </w:pPr>
      <w:r w:rsidRPr="006528B6">
        <w:rPr>
          <w:rFonts w:ascii="Times New Roman" w:hAnsi="Times New Roman" w:cs="Times New Roman"/>
          <w:sz w:val="24"/>
          <w:szCs w:val="24"/>
        </w:rPr>
        <w:t>Cionondimeno, nell’attuale contesto pandemico, il settore ha mostrato una maggiore resilienza ed una migliore capacità di tenuta rispetto all’andamento del sistema economico in generale; si può infatti apprezzare una crescita nel rapporto tra le risorse del comparto e le principali</w:t>
      </w:r>
    </w:p>
    <w:p w14:paraId="786BA36D" w14:textId="77777777" w:rsidR="008D5359" w:rsidRPr="006528B6" w:rsidRDefault="00A1507A" w:rsidP="00A1507A">
      <w:pPr>
        <w:autoSpaceDE w:val="0"/>
        <w:autoSpaceDN w:val="0"/>
        <w:adjustRightInd w:val="0"/>
        <w:spacing w:after="0" w:line="240" w:lineRule="auto"/>
        <w:jc w:val="both"/>
        <w:rPr>
          <w:rFonts w:ascii="Times New Roman" w:hAnsi="Times New Roman" w:cs="Times New Roman"/>
          <w:sz w:val="24"/>
          <w:szCs w:val="24"/>
        </w:rPr>
      </w:pPr>
      <w:r w:rsidRPr="006528B6">
        <w:rPr>
          <w:rFonts w:ascii="Times New Roman" w:hAnsi="Times New Roman" w:cs="Times New Roman"/>
          <w:sz w:val="24"/>
          <w:szCs w:val="24"/>
        </w:rPr>
        <w:t>grandezze macroeconomiche (PIL, spesa delle famiglie, investimenti) che interrompe una precedente fase nella quale, al contrario, si intravedeva una tendenza alla riduzione</w:t>
      </w:r>
      <w:r w:rsidR="008D5359" w:rsidRPr="006528B6">
        <w:rPr>
          <w:rFonts w:ascii="Times New Roman" w:hAnsi="Times New Roman" w:cs="Times New Roman"/>
          <w:sz w:val="24"/>
          <w:szCs w:val="24"/>
        </w:rPr>
        <w:t>.</w:t>
      </w:r>
      <w:r w:rsidRPr="006528B6">
        <w:rPr>
          <w:rFonts w:ascii="Times New Roman" w:hAnsi="Times New Roman" w:cs="Times New Roman"/>
          <w:sz w:val="24"/>
          <w:szCs w:val="24"/>
        </w:rPr>
        <w:t xml:space="preserve"> </w:t>
      </w:r>
    </w:p>
    <w:p w14:paraId="7ADDA45A" w14:textId="77777777" w:rsidR="008D5359" w:rsidRPr="006528B6" w:rsidRDefault="00A1507A" w:rsidP="008D5359">
      <w:pPr>
        <w:autoSpaceDE w:val="0"/>
        <w:autoSpaceDN w:val="0"/>
        <w:adjustRightInd w:val="0"/>
        <w:spacing w:after="0" w:line="240" w:lineRule="auto"/>
        <w:ind w:firstLine="709"/>
        <w:jc w:val="both"/>
        <w:rPr>
          <w:rFonts w:ascii="Times New Roman" w:hAnsi="Times New Roman" w:cs="Times New Roman"/>
          <w:sz w:val="24"/>
          <w:szCs w:val="24"/>
        </w:rPr>
      </w:pPr>
      <w:r w:rsidRPr="006528B6">
        <w:rPr>
          <w:rFonts w:ascii="Times New Roman" w:hAnsi="Times New Roman" w:cs="Times New Roman"/>
          <w:sz w:val="24"/>
          <w:szCs w:val="24"/>
        </w:rPr>
        <w:t>Esaminando la parte dei ricavi ascrivibile alla spesa della clientela residenziale e affari, nel corso dell’ultimo anno si registra una flessione che nel complesso è risultata pari al 6,9%. Tuttavia, emergono significative differenze a seconda della natura dei servizi. Per i ricavi da rete mobile (-8,2%) tale risultato è anche la conseguenza di un contesto competitivo caratterizzato da una forte pressione sui prezzi che</w:t>
      </w:r>
      <w:r w:rsidR="008D5359" w:rsidRPr="006528B6">
        <w:rPr>
          <w:rFonts w:ascii="Times New Roman" w:hAnsi="Times New Roman" w:cs="Times New Roman"/>
          <w:sz w:val="24"/>
          <w:szCs w:val="24"/>
        </w:rPr>
        <w:t xml:space="preserve"> </w:t>
      </w:r>
      <w:r w:rsidRPr="006528B6">
        <w:rPr>
          <w:rFonts w:ascii="Times New Roman" w:hAnsi="Times New Roman" w:cs="Times New Roman"/>
          <w:sz w:val="24"/>
          <w:szCs w:val="24"/>
        </w:rPr>
        <w:t>vede coinvolti sia gli operatori storici, sia Iliad (nuovo entrante), sia, infine, gli operatori mobili virtuali (</w:t>
      </w:r>
      <w:r w:rsidRPr="006528B6">
        <w:rPr>
          <w:rFonts w:ascii="Times New Roman" w:hAnsi="Times New Roman" w:cs="Times New Roman"/>
          <w:b/>
          <w:bCs/>
          <w:sz w:val="24"/>
          <w:szCs w:val="24"/>
        </w:rPr>
        <w:t>MVNOs - Mobile Virtual Network Operators</w:t>
      </w:r>
      <w:r w:rsidRPr="006528B6">
        <w:rPr>
          <w:rFonts w:ascii="Times New Roman" w:hAnsi="Times New Roman" w:cs="Times New Roman"/>
          <w:sz w:val="24"/>
          <w:szCs w:val="24"/>
        </w:rPr>
        <w:t xml:space="preserve">). Una riduzione minore (-5,7%) si registra per i ricavi da rete fissa, grazie, in particolare, alla progressiva diffusione della banda larga e ultra-larga. </w:t>
      </w:r>
    </w:p>
    <w:p w14:paraId="56BACB9C" w14:textId="77777777" w:rsidR="008D5359" w:rsidRPr="006528B6" w:rsidRDefault="00A1507A" w:rsidP="008D5359">
      <w:pPr>
        <w:autoSpaceDE w:val="0"/>
        <w:autoSpaceDN w:val="0"/>
        <w:adjustRightInd w:val="0"/>
        <w:spacing w:after="0" w:line="240" w:lineRule="auto"/>
        <w:ind w:firstLine="709"/>
        <w:jc w:val="both"/>
        <w:rPr>
          <w:rFonts w:ascii="Times New Roman" w:hAnsi="Times New Roman" w:cs="Times New Roman"/>
          <w:sz w:val="24"/>
          <w:szCs w:val="24"/>
        </w:rPr>
      </w:pPr>
      <w:r w:rsidRPr="006528B6">
        <w:rPr>
          <w:rFonts w:ascii="Times New Roman" w:hAnsi="Times New Roman" w:cs="Times New Roman"/>
          <w:sz w:val="24"/>
          <w:szCs w:val="24"/>
        </w:rPr>
        <w:t xml:space="preserve">Di conseguenza, si conferma anche nel 2020 la tendenza che vede, a partire dal 2018, la spesa complessiva degli utenti in servizi di rete fissa essere superiore a quanto osservato per i servizi da rete mobile. </w:t>
      </w:r>
    </w:p>
    <w:p w14:paraId="25573222" w14:textId="23F70656" w:rsidR="00A1507A" w:rsidRPr="006528B6" w:rsidRDefault="00A1507A" w:rsidP="008D5359">
      <w:pPr>
        <w:autoSpaceDE w:val="0"/>
        <w:autoSpaceDN w:val="0"/>
        <w:adjustRightInd w:val="0"/>
        <w:spacing w:after="0" w:line="240" w:lineRule="auto"/>
        <w:ind w:firstLine="709"/>
        <w:jc w:val="both"/>
        <w:rPr>
          <w:rFonts w:ascii="Times New Roman" w:hAnsi="Times New Roman" w:cs="Times New Roman"/>
          <w:sz w:val="24"/>
          <w:szCs w:val="24"/>
        </w:rPr>
      </w:pPr>
      <w:r w:rsidRPr="006528B6">
        <w:rPr>
          <w:rFonts w:ascii="Times New Roman" w:hAnsi="Times New Roman" w:cs="Times New Roman"/>
          <w:sz w:val="24"/>
          <w:szCs w:val="24"/>
        </w:rPr>
        <w:t xml:space="preserve">Guardando separatamente alla clientela residenziale e a quella affari, la prima ha registrato una contrazione maggiore rispetto alla seconda (7,5% vs. 6,0%), con un decremento particolarmente rilevante nella rete mobile (-9,1%). </w:t>
      </w:r>
    </w:p>
    <w:p w14:paraId="504AE748" w14:textId="77777777" w:rsidR="008D5359" w:rsidRPr="006528B6" w:rsidRDefault="00A1507A" w:rsidP="00A1507A">
      <w:pPr>
        <w:autoSpaceDE w:val="0"/>
        <w:autoSpaceDN w:val="0"/>
        <w:adjustRightInd w:val="0"/>
        <w:spacing w:after="0" w:line="240" w:lineRule="auto"/>
        <w:ind w:firstLine="709"/>
        <w:jc w:val="both"/>
        <w:rPr>
          <w:rFonts w:ascii="Times New Roman" w:hAnsi="Times New Roman" w:cs="Times New Roman"/>
          <w:sz w:val="24"/>
          <w:szCs w:val="24"/>
        </w:rPr>
      </w:pPr>
      <w:r w:rsidRPr="006528B6">
        <w:rPr>
          <w:rFonts w:ascii="Times New Roman" w:hAnsi="Times New Roman" w:cs="Times New Roman"/>
          <w:sz w:val="24"/>
          <w:szCs w:val="24"/>
        </w:rPr>
        <w:t xml:space="preserve">Per ciò che riguarda i ricavi da servizi intermedi (wholesale) si osserva una complessiva crescita degli introiti (in media del 4,7%). Tale andamento è dovuto anche ai soprarichiamati effetti dei cambiamenti generati dalla pandemia sulla vita quotidiana degli italiani. </w:t>
      </w:r>
    </w:p>
    <w:p w14:paraId="1D2AFE39" w14:textId="57220C9E" w:rsidR="00A1507A" w:rsidRPr="006528B6" w:rsidRDefault="00A1507A" w:rsidP="00A1507A">
      <w:pPr>
        <w:autoSpaceDE w:val="0"/>
        <w:autoSpaceDN w:val="0"/>
        <w:adjustRightInd w:val="0"/>
        <w:spacing w:after="0" w:line="240" w:lineRule="auto"/>
        <w:ind w:firstLine="709"/>
        <w:jc w:val="both"/>
        <w:rPr>
          <w:rFonts w:ascii="Times New Roman" w:hAnsi="Times New Roman" w:cs="Times New Roman"/>
          <w:sz w:val="24"/>
          <w:szCs w:val="24"/>
        </w:rPr>
      </w:pPr>
      <w:r w:rsidRPr="006528B6">
        <w:rPr>
          <w:rFonts w:ascii="Times New Roman" w:hAnsi="Times New Roman" w:cs="Times New Roman"/>
          <w:sz w:val="24"/>
          <w:szCs w:val="24"/>
        </w:rPr>
        <w:t xml:space="preserve">Un’ulteriore evidenza di questi effetti si può riscontrare nella crescita degli introiti legati ai canoni per abbonamenti a linee </w:t>
      </w:r>
      <w:r w:rsidRPr="006528B6">
        <w:rPr>
          <w:rFonts w:ascii="Times New Roman" w:hAnsi="Times New Roman" w:cs="Times New Roman"/>
          <w:i/>
          <w:iCs/>
          <w:sz w:val="24"/>
          <w:szCs w:val="24"/>
        </w:rPr>
        <w:t xml:space="preserve">ultrabroadband </w:t>
      </w:r>
      <w:r w:rsidRPr="006528B6">
        <w:rPr>
          <w:rFonts w:ascii="Times New Roman" w:hAnsi="Times New Roman" w:cs="Times New Roman"/>
          <w:sz w:val="24"/>
          <w:szCs w:val="24"/>
        </w:rPr>
        <w:t xml:space="preserve">(VDSL e FTTH in primo luogo) come conseguenza </w:t>
      </w:r>
      <w:r w:rsidRPr="006528B6">
        <w:rPr>
          <w:rFonts w:ascii="Times New Roman" w:hAnsi="Times New Roman" w:cs="Times New Roman"/>
          <w:sz w:val="24"/>
          <w:szCs w:val="24"/>
        </w:rPr>
        <w:lastRenderedPageBreak/>
        <w:t>dell’aumento del numero di utenti che ha scelto di usufruire di prestazioni caratterizzate da una maggiore qualità nella velocità di connessione da rete fissa.</w:t>
      </w:r>
    </w:p>
    <w:p w14:paraId="15678935" w14:textId="77777777" w:rsidR="00A1507A" w:rsidRPr="006528B6" w:rsidRDefault="00A1507A" w:rsidP="00A1507A">
      <w:pPr>
        <w:autoSpaceDE w:val="0"/>
        <w:autoSpaceDN w:val="0"/>
        <w:adjustRightInd w:val="0"/>
        <w:spacing w:after="0" w:line="240" w:lineRule="auto"/>
        <w:ind w:firstLine="709"/>
        <w:jc w:val="both"/>
        <w:rPr>
          <w:rFonts w:ascii="Times New Roman" w:hAnsi="Times New Roman" w:cs="Times New Roman"/>
          <w:sz w:val="24"/>
          <w:szCs w:val="24"/>
        </w:rPr>
      </w:pPr>
      <w:r w:rsidRPr="006528B6">
        <w:rPr>
          <w:rFonts w:ascii="Times New Roman" w:hAnsi="Times New Roman" w:cs="Times New Roman"/>
          <w:sz w:val="24"/>
          <w:szCs w:val="24"/>
        </w:rPr>
        <w:t>Per i servizi mobili, l’incremento nei volumi di traffico delle comunicazioni vocali è alla base dell’aumento, in particolare, dei ricavi da servizi di terminazione per chiamate da altre reti mobili.</w:t>
      </w:r>
    </w:p>
    <w:p w14:paraId="40076815" w14:textId="77777777" w:rsidR="00A1507A" w:rsidRPr="006528B6" w:rsidRDefault="00A1507A" w:rsidP="00A1507A">
      <w:pPr>
        <w:autoSpaceDE w:val="0"/>
        <w:autoSpaceDN w:val="0"/>
        <w:adjustRightInd w:val="0"/>
        <w:spacing w:after="0" w:line="240" w:lineRule="auto"/>
        <w:ind w:firstLine="709"/>
        <w:jc w:val="both"/>
        <w:rPr>
          <w:rFonts w:ascii="Times New Roman" w:hAnsi="Times New Roman" w:cs="Times New Roman"/>
          <w:sz w:val="24"/>
          <w:szCs w:val="24"/>
        </w:rPr>
      </w:pPr>
      <w:r w:rsidRPr="006528B6">
        <w:rPr>
          <w:rFonts w:ascii="Times New Roman" w:hAnsi="Times New Roman" w:cs="Times New Roman"/>
          <w:sz w:val="24"/>
          <w:szCs w:val="24"/>
        </w:rPr>
        <w:t>Gli investimenti in infrastrutture di rete nel complesso mostrano una riduzione del 7,7% (per complessivi 620 milioni di euro di minori investimenti). Tale risultato è frutto di due differenti dinamiche: nella rete fissa, si registra una marginale flessione, di poco superiore all’1%, mentre per quella mobile si osserva una riduzione prossima al 20%. Gli investimenti dell’</w:t>
      </w:r>
      <w:r w:rsidRPr="006528B6">
        <w:rPr>
          <w:rFonts w:ascii="Times New Roman" w:hAnsi="Times New Roman" w:cs="Times New Roman"/>
          <w:i/>
          <w:iCs/>
          <w:sz w:val="24"/>
          <w:szCs w:val="24"/>
        </w:rPr>
        <w:t xml:space="preserve">incumbent </w:t>
      </w:r>
      <w:r w:rsidRPr="006528B6">
        <w:rPr>
          <w:rFonts w:ascii="Times New Roman" w:hAnsi="Times New Roman" w:cs="Times New Roman"/>
          <w:sz w:val="24"/>
          <w:szCs w:val="24"/>
        </w:rPr>
        <w:t xml:space="preserve">hanno nel complesso subito una contrazione (-4,3%) nettamente inferiore rispetto a quanto osservabile per gli altri operatori (-9,3%). </w:t>
      </w:r>
    </w:p>
    <w:p w14:paraId="7730BF73" w14:textId="77777777" w:rsidR="00A1507A" w:rsidRPr="006528B6" w:rsidRDefault="00A1507A" w:rsidP="00A1507A">
      <w:pPr>
        <w:autoSpaceDE w:val="0"/>
        <w:autoSpaceDN w:val="0"/>
        <w:adjustRightInd w:val="0"/>
        <w:spacing w:after="0" w:line="240" w:lineRule="auto"/>
        <w:ind w:firstLine="709"/>
        <w:jc w:val="both"/>
        <w:rPr>
          <w:rFonts w:ascii="Times New Roman" w:hAnsi="Times New Roman" w:cs="Times New Roman"/>
          <w:sz w:val="24"/>
          <w:szCs w:val="24"/>
        </w:rPr>
      </w:pPr>
      <w:r w:rsidRPr="006528B6">
        <w:rPr>
          <w:rFonts w:ascii="Times New Roman" w:hAnsi="Times New Roman" w:cs="Times New Roman"/>
          <w:sz w:val="24"/>
          <w:szCs w:val="24"/>
        </w:rPr>
        <w:t xml:space="preserve">Quanto descritto determina uno scenario competitivo in evoluzione in cui emerge una diminuzione della quota di TIM di 2 punti percentuali. Se ne avvantaggiano soprattutto Fastweb, che guadagna oltre un punto percentuale anche grazie all’integrazione dei servizi fissi e mobili, e Iliad (+0,9 punti percentuali), le cui offerte hanno superato a fine anno 7,2 milioni di sottoscrizioni. </w:t>
      </w:r>
    </w:p>
    <w:p w14:paraId="242D861B" w14:textId="77777777" w:rsidR="00A1507A" w:rsidRPr="006528B6" w:rsidRDefault="00A1507A" w:rsidP="00A1507A">
      <w:pPr>
        <w:autoSpaceDE w:val="0"/>
        <w:autoSpaceDN w:val="0"/>
        <w:adjustRightInd w:val="0"/>
        <w:spacing w:after="0" w:line="240" w:lineRule="auto"/>
        <w:ind w:firstLine="709"/>
        <w:jc w:val="both"/>
        <w:rPr>
          <w:rFonts w:ascii="Times New Roman" w:hAnsi="Times New Roman" w:cs="Times New Roman"/>
          <w:sz w:val="24"/>
          <w:szCs w:val="24"/>
        </w:rPr>
      </w:pPr>
      <w:r w:rsidRPr="006528B6">
        <w:rPr>
          <w:rFonts w:ascii="Times New Roman" w:hAnsi="Times New Roman" w:cs="Times New Roman"/>
          <w:sz w:val="24"/>
          <w:szCs w:val="24"/>
        </w:rPr>
        <w:t xml:space="preserve">Nonostante la presenza sul mercato di operatori di grandi dimensioni, va considerato che i mercati delle comunicazioni elettroniche si presentano dinamici in termini di offerta di nuovi servizi e di possibili ambiti operativi per imprese di minori dimensioni. Tra i primi figurano le imprese che offrono servizi tramite tecnologia </w:t>
      </w:r>
      <w:r w:rsidRPr="006528B6">
        <w:rPr>
          <w:rFonts w:ascii="Times New Roman" w:hAnsi="Times New Roman" w:cs="Times New Roman"/>
          <w:i/>
          <w:iCs/>
          <w:sz w:val="24"/>
          <w:szCs w:val="24"/>
        </w:rPr>
        <w:t xml:space="preserve">Fixed Wireless Access </w:t>
      </w:r>
      <w:r w:rsidRPr="006528B6">
        <w:rPr>
          <w:rFonts w:ascii="Times New Roman" w:hAnsi="Times New Roman" w:cs="Times New Roman"/>
          <w:sz w:val="24"/>
          <w:szCs w:val="24"/>
        </w:rPr>
        <w:t>(FWA), segmento che nel complesso si stima aver raggiunto, nel 2020, il valore di 370 milioni di euro. Tra i secondi, si rileva la presenza di operatori cosiddetti virtuali (MVNO) per i quali si evidenzia un giro di affari arrivato a superare i 700 milioni di euro.</w:t>
      </w:r>
    </w:p>
    <w:p w14:paraId="6914AAA7" w14:textId="77777777" w:rsidR="00A1507A" w:rsidRPr="006528B6" w:rsidRDefault="00A1507A" w:rsidP="0088716E">
      <w:pPr>
        <w:autoSpaceDE w:val="0"/>
        <w:autoSpaceDN w:val="0"/>
        <w:adjustRightInd w:val="0"/>
        <w:spacing w:after="0" w:line="240" w:lineRule="auto"/>
        <w:ind w:firstLine="708"/>
        <w:jc w:val="both"/>
        <w:rPr>
          <w:rFonts w:ascii="Times New Roman" w:hAnsi="Times New Roman" w:cs="Times New Roman"/>
          <w:sz w:val="24"/>
          <w:szCs w:val="24"/>
        </w:rPr>
      </w:pPr>
    </w:p>
    <w:p w14:paraId="1B39E868" w14:textId="77777777" w:rsidR="004A15B4" w:rsidRPr="006528B6" w:rsidRDefault="004A15B4" w:rsidP="00213BAD">
      <w:pPr>
        <w:spacing w:after="0" w:line="240" w:lineRule="auto"/>
        <w:ind w:firstLine="709"/>
        <w:jc w:val="both"/>
        <w:rPr>
          <w:rFonts w:ascii="Times New Roman" w:eastAsia="Calibri" w:hAnsi="Times New Roman" w:cs="Times New Roman"/>
          <w:i/>
          <w:sz w:val="24"/>
          <w:szCs w:val="24"/>
        </w:rPr>
      </w:pPr>
    </w:p>
    <w:p w14:paraId="207568F6" w14:textId="7BAE633F" w:rsidR="000002F7" w:rsidRPr="006528B6" w:rsidRDefault="000002F7" w:rsidP="00213BAD">
      <w:pPr>
        <w:spacing w:after="0" w:line="240" w:lineRule="auto"/>
        <w:ind w:firstLine="709"/>
        <w:jc w:val="both"/>
        <w:rPr>
          <w:rFonts w:ascii="Times New Roman" w:eastAsia="Calibri" w:hAnsi="Times New Roman" w:cs="Times New Roman"/>
          <w:i/>
          <w:sz w:val="24"/>
          <w:szCs w:val="24"/>
        </w:rPr>
      </w:pPr>
      <w:r w:rsidRPr="006528B6">
        <w:rPr>
          <w:rFonts w:ascii="Times New Roman" w:eastAsia="Calibri" w:hAnsi="Times New Roman" w:cs="Times New Roman"/>
          <w:i/>
          <w:sz w:val="24"/>
          <w:szCs w:val="24"/>
        </w:rPr>
        <w:t>I mercati di rete fissa</w:t>
      </w:r>
    </w:p>
    <w:p w14:paraId="6C224F36" w14:textId="77777777" w:rsidR="00A1507A" w:rsidRPr="006528B6" w:rsidRDefault="00A1507A" w:rsidP="00213BAD">
      <w:pPr>
        <w:spacing w:after="0" w:line="240" w:lineRule="auto"/>
        <w:ind w:firstLine="709"/>
        <w:jc w:val="both"/>
        <w:rPr>
          <w:rFonts w:ascii="Times New Roman" w:eastAsia="Calibri" w:hAnsi="Times New Roman" w:cs="Times New Roman"/>
          <w:i/>
          <w:sz w:val="24"/>
          <w:szCs w:val="24"/>
        </w:rPr>
      </w:pPr>
    </w:p>
    <w:p w14:paraId="1259AC7F" w14:textId="0473591D" w:rsidR="00A1507A" w:rsidRPr="006528B6" w:rsidRDefault="00A1507A" w:rsidP="00A1507A">
      <w:pPr>
        <w:autoSpaceDE w:val="0"/>
        <w:autoSpaceDN w:val="0"/>
        <w:adjustRightInd w:val="0"/>
        <w:spacing w:after="0" w:line="240" w:lineRule="auto"/>
        <w:ind w:firstLine="709"/>
        <w:jc w:val="both"/>
        <w:rPr>
          <w:rFonts w:ascii="Times New Roman" w:hAnsi="Times New Roman" w:cs="Times New Roman"/>
          <w:sz w:val="24"/>
          <w:szCs w:val="24"/>
        </w:rPr>
      </w:pPr>
      <w:r w:rsidRPr="006528B6">
        <w:rPr>
          <w:rFonts w:ascii="Times New Roman" w:hAnsi="Times New Roman" w:cs="Times New Roman"/>
          <w:sz w:val="24"/>
          <w:szCs w:val="24"/>
        </w:rPr>
        <w:t>Nel corso del 2020, nonostante i ricavi retail complessivamente registrino una flessione pari al 5,7%, emerge l’importanza dei servizi dati i cui introiti sono cresciuti del 2,9%, mentre quelli derivanti dai servizi vocali hanno fortemente accentuato la ormai progressiva marginalità (-21,8%).</w:t>
      </w:r>
    </w:p>
    <w:p w14:paraId="01562B92" w14:textId="5C00F57A" w:rsidR="00A1507A" w:rsidRPr="006528B6" w:rsidRDefault="00A1507A" w:rsidP="00A1507A">
      <w:pPr>
        <w:autoSpaceDE w:val="0"/>
        <w:autoSpaceDN w:val="0"/>
        <w:adjustRightInd w:val="0"/>
        <w:spacing w:after="0" w:line="240" w:lineRule="auto"/>
        <w:ind w:firstLine="709"/>
        <w:jc w:val="both"/>
        <w:rPr>
          <w:rFonts w:ascii="Times New Roman" w:hAnsi="Times New Roman" w:cs="Times New Roman"/>
          <w:sz w:val="24"/>
          <w:szCs w:val="24"/>
        </w:rPr>
      </w:pPr>
      <w:r w:rsidRPr="006528B6">
        <w:rPr>
          <w:rFonts w:ascii="Times New Roman" w:hAnsi="Times New Roman" w:cs="Times New Roman"/>
          <w:sz w:val="24"/>
          <w:szCs w:val="24"/>
        </w:rPr>
        <w:t xml:space="preserve">Tale tendenza è riconducibile alla crescita degli abbonamenti </w:t>
      </w:r>
      <w:r w:rsidRPr="006528B6">
        <w:rPr>
          <w:rFonts w:ascii="Times New Roman" w:hAnsi="Times New Roman" w:cs="Times New Roman"/>
          <w:i/>
          <w:iCs/>
          <w:sz w:val="24"/>
          <w:szCs w:val="24"/>
        </w:rPr>
        <w:t>broadband e ultrabroadband</w:t>
      </w:r>
      <w:r w:rsidRPr="006528B6">
        <w:rPr>
          <w:rFonts w:ascii="Times New Roman" w:hAnsi="Times New Roman" w:cs="Times New Roman"/>
          <w:sz w:val="24"/>
          <w:szCs w:val="24"/>
        </w:rPr>
        <w:t xml:space="preserve">, la cui consistenza media ha raggiunto lo scorso anno 17,9 milioni (+2,8%), e in particolare alla progressiva diffusione degli abbonamenti che prevedono maggiori velocità di connessione e i cui prezzi unitari sono superiori alla media. Al riguardo, si stima che i ricavi relativi agli abbonamenti commercializzati per velocità pari o superiori a 100 Mbit/s siano cresciuti di circa 650 milioni di euro (+23,3% rispetto al 2019), superando abbondantemente il 50% dei complessivi ricavi </w:t>
      </w:r>
      <w:r w:rsidRPr="006528B6">
        <w:rPr>
          <w:rFonts w:ascii="Times New Roman" w:hAnsi="Times New Roman" w:cs="Times New Roman"/>
          <w:i/>
          <w:iCs/>
          <w:sz w:val="24"/>
          <w:szCs w:val="24"/>
        </w:rPr>
        <w:t xml:space="preserve">retail </w:t>
      </w:r>
      <w:r w:rsidRPr="006528B6">
        <w:rPr>
          <w:rFonts w:ascii="Times New Roman" w:hAnsi="Times New Roman" w:cs="Times New Roman"/>
          <w:sz w:val="24"/>
          <w:szCs w:val="24"/>
        </w:rPr>
        <w:t>da collegamenti a larga banda.</w:t>
      </w:r>
    </w:p>
    <w:p w14:paraId="2BF10909" w14:textId="561BA6E0" w:rsidR="00A1507A" w:rsidRPr="006528B6" w:rsidRDefault="00A1507A" w:rsidP="00B03420">
      <w:pPr>
        <w:autoSpaceDE w:val="0"/>
        <w:autoSpaceDN w:val="0"/>
        <w:adjustRightInd w:val="0"/>
        <w:spacing w:after="0" w:line="240" w:lineRule="auto"/>
        <w:ind w:firstLine="709"/>
        <w:jc w:val="both"/>
        <w:rPr>
          <w:rFonts w:ascii="Times New Roman" w:hAnsi="Times New Roman" w:cs="Times New Roman"/>
          <w:sz w:val="24"/>
          <w:szCs w:val="24"/>
        </w:rPr>
      </w:pPr>
      <w:r w:rsidRPr="006528B6">
        <w:rPr>
          <w:rFonts w:ascii="Times New Roman" w:hAnsi="Times New Roman" w:cs="Times New Roman"/>
          <w:sz w:val="24"/>
          <w:szCs w:val="24"/>
        </w:rPr>
        <w:t xml:space="preserve">Appare opportuno ricordare che la crisi pandemica ha rappresentato un acceleratore di profondi mutamenti già in atto da tempo: basti pensare che nel 2005 le linee </w:t>
      </w:r>
      <w:r w:rsidRPr="006528B6">
        <w:rPr>
          <w:rFonts w:ascii="Times New Roman" w:hAnsi="Times New Roman" w:cs="Times New Roman"/>
          <w:i/>
          <w:iCs/>
          <w:sz w:val="24"/>
          <w:szCs w:val="24"/>
        </w:rPr>
        <w:t xml:space="preserve">broadband </w:t>
      </w:r>
      <w:r w:rsidRPr="006528B6">
        <w:rPr>
          <w:rFonts w:ascii="Times New Roman" w:hAnsi="Times New Roman" w:cs="Times New Roman"/>
          <w:sz w:val="24"/>
          <w:szCs w:val="24"/>
        </w:rPr>
        <w:t>rappresentavano</w:t>
      </w:r>
      <w:r w:rsidR="00CA581C" w:rsidRPr="006528B6">
        <w:rPr>
          <w:rFonts w:ascii="Times New Roman" w:hAnsi="Times New Roman" w:cs="Times New Roman"/>
          <w:sz w:val="24"/>
          <w:szCs w:val="24"/>
        </w:rPr>
        <w:t xml:space="preserve"> </w:t>
      </w:r>
      <w:r w:rsidRPr="006528B6">
        <w:rPr>
          <w:rFonts w:ascii="Times New Roman" w:hAnsi="Times New Roman" w:cs="Times New Roman"/>
          <w:sz w:val="24"/>
          <w:szCs w:val="24"/>
        </w:rPr>
        <w:t>meno del 30% delle linee complessive</w:t>
      </w:r>
      <w:r w:rsidR="00CA581C" w:rsidRPr="006528B6">
        <w:rPr>
          <w:rFonts w:ascii="Times New Roman" w:hAnsi="Times New Roman" w:cs="Times New Roman"/>
          <w:sz w:val="24"/>
          <w:szCs w:val="24"/>
        </w:rPr>
        <w:t xml:space="preserve"> </w:t>
      </w:r>
      <w:r w:rsidRPr="006528B6">
        <w:rPr>
          <w:rFonts w:ascii="Times New Roman" w:hAnsi="Times New Roman" w:cs="Times New Roman"/>
          <w:sz w:val="24"/>
          <w:szCs w:val="24"/>
        </w:rPr>
        <w:t>e quelle più performanti in termini di velocità</w:t>
      </w:r>
      <w:r w:rsidR="00CA581C" w:rsidRPr="006528B6">
        <w:rPr>
          <w:rFonts w:ascii="Times New Roman" w:hAnsi="Times New Roman" w:cs="Times New Roman"/>
          <w:sz w:val="24"/>
          <w:szCs w:val="24"/>
        </w:rPr>
        <w:t xml:space="preserve"> </w:t>
      </w:r>
      <w:r w:rsidRPr="006528B6">
        <w:rPr>
          <w:rFonts w:ascii="Times New Roman" w:hAnsi="Times New Roman" w:cs="Times New Roman"/>
          <w:sz w:val="24"/>
          <w:szCs w:val="24"/>
        </w:rPr>
        <w:t>di connessione (FTTC/FTTH) erano sostanzialmente</w:t>
      </w:r>
      <w:r w:rsidR="00CA581C" w:rsidRPr="006528B6">
        <w:rPr>
          <w:rFonts w:ascii="Times New Roman" w:hAnsi="Times New Roman" w:cs="Times New Roman"/>
          <w:sz w:val="24"/>
          <w:szCs w:val="24"/>
        </w:rPr>
        <w:t xml:space="preserve"> </w:t>
      </w:r>
      <w:r w:rsidRPr="006528B6">
        <w:rPr>
          <w:rFonts w:ascii="Times New Roman" w:hAnsi="Times New Roman" w:cs="Times New Roman"/>
          <w:sz w:val="24"/>
          <w:szCs w:val="24"/>
        </w:rPr>
        <w:t>assenti. A fine 2020, gli abbonamenti non</w:t>
      </w:r>
      <w:r w:rsidR="00CA581C" w:rsidRPr="006528B6">
        <w:rPr>
          <w:rFonts w:ascii="Times New Roman" w:hAnsi="Times New Roman" w:cs="Times New Roman"/>
          <w:sz w:val="24"/>
          <w:szCs w:val="24"/>
        </w:rPr>
        <w:t xml:space="preserve"> </w:t>
      </w:r>
      <w:r w:rsidRPr="006528B6">
        <w:rPr>
          <w:rFonts w:ascii="Times New Roman" w:hAnsi="Times New Roman" w:cs="Times New Roman"/>
          <w:sz w:val="24"/>
          <w:szCs w:val="24"/>
        </w:rPr>
        <w:t>broadband sono ormai residuali (7,5% del totale)</w:t>
      </w:r>
      <w:r w:rsidR="00CA581C" w:rsidRPr="006528B6">
        <w:rPr>
          <w:rFonts w:ascii="Times New Roman" w:hAnsi="Times New Roman" w:cs="Times New Roman"/>
          <w:sz w:val="24"/>
          <w:szCs w:val="24"/>
        </w:rPr>
        <w:t xml:space="preserve"> </w:t>
      </w:r>
      <w:r w:rsidRPr="006528B6">
        <w:rPr>
          <w:rFonts w:ascii="Times New Roman" w:hAnsi="Times New Roman" w:cs="Times New Roman"/>
          <w:sz w:val="24"/>
          <w:szCs w:val="24"/>
        </w:rPr>
        <w:t>mentre il complesso delle linee FTTC e FTTH ha</w:t>
      </w:r>
      <w:r w:rsidR="00CA581C" w:rsidRPr="006528B6">
        <w:rPr>
          <w:rFonts w:ascii="Times New Roman" w:hAnsi="Times New Roman" w:cs="Times New Roman"/>
          <w:sz w:val="24"/>
          <w:szCs w:val="24"/>
        </w:rPr>
        <w:t xml:space="preserve"> </w:t>
      </w:r>
      <w:r w:rsidRPr="006528B6">
        <w:rPr>
          <w:rFonts w:ascii="Times New Roman" w:hAnsi="Times New Roman" w:cs="Times New Roman"/>
          <w:sz w:val="24"/>
          <w:szCs w:val="24"/>
        </w:rPr>
        <w:t>superato il 55% del totale.</w:t>
      </w:r>
      <w:r w:rsidR="00B03420" w:rsidRPr="006528B6">
        <w:rPr>
          <w:rFonts w:ascii="Times New Roman" w:hAnsi="Times New Roman" w:cs="Times New Roman"/>
          <w:sz w:val="24"/>
          <w:szCs w:val="24"/>
        </w:rPr>
        <w:t xml:space="preserve"> (</w:t>
      </w:r>
      <w:r w:rsidR="008D5359" w:rsidRPr="006528B6">
        <w:rPr>
          <w:rFonts w:ascii="Times New Roman" w:hAnsi="Times New Roman" w:cs="Times New Roman"/>
          <w:sz w:val="24"/>
          <w:szCs w:val="24"/>
        </w:rPr>
        <w:t>N</w:t>
      </w:r>
      <w:r w:rsidR="00B03420" w:rsidRPr="006528B6">
        <w:rPr>
          <w:rFonts w:ascii="Times New Roman" w:hAnsi="Times New Roman" w:cs="Times New Roman"/>
          <w:sz w:val="24"/>
          <w:szCs w:val="24"/>
        </w:rPr>
        <w:t xml:space="preserve">ei servizi “Voce” sono inclusi introiti da servizi di accesso, da fonia (locale, nazionale, internazionale, fisso-mobile), ricavi netti da servizi a numerazione non geografica e da telefonia pubblica; </w:t>
      </w:r>
      <w:r w:rsidR="00997BF9" w:rsidRPr="006528B6">
        <w:rPr>
          <w:rFonts w:ascii="Times New Roman" w:hAnsi="Times New Roman" w:cs="Times New Roman"/>
          <w:sz w:val="24"/>
          <w:szCs w:val="24"/>
        </w:rPr>
        <w:t>nei</w:t>
      </w:r>
      <w:r w:rsidR="00B03420" w:rsidRPr="006528B6">
        <w:rPr>
          <w:rFonts w:ascii="Times New Roman" w:hAnsi="Times New Roman" w:cs="Times New Roman"/>
          <w:sz w:val="24"/>
          <w:szCs w:val="24"/>
        </w:rPr>
        <w:t xml:space="preserve"> servizi “Dati” sono inclusi quelli provenienti dalle reti a larga banda, inclusi canoni e servizi a consumo, servizi commutati di trasmissione dati e circuiti diretti affittati a clientela finale (esclusi OAO), ricavi da servizi M2M; </w:t>
      </w:r>
      <w:r w:rsidR="00997BF9" w:rsidRPr="006528B6">
        <w:rPr>
          <w:rFonts w:ascii="Times New Roman" w:hAnsi="Times New Roman" w:cs="Times New Roman"/>
          <w:sz w:val="24"/>
          <w:szCs w:val="24"/>
        </w:rPr>
        <w:t>n</w:t>
      </w:r>
      <w:r w:rsidR="00B03420" w:rsidRPr="006528B6">
        <w:rPr>
          <w:rFonts w:ascii="Times New Roman" w:hAnsi="Times New Roman" w:cs="Times New Roman"/>
          <w:sz w:val="24"/>
          <w:szCs w:val="24"/>
        </w:rPr>
        <w:t>ella voce “Altro” sono inclusi i ricavi da vendita/noleggio di apparati, terminali e accessori e altre tipologie di ricavo non espressamente considerate in precedenza.)</w:t>
      </w:r>
    </w:p>
    <w:p w14:paraId="129E6266" w14:textId="01B0E0EA" w:rsidR="00A1507A" w:rsidRPr="006528B6" w:rsidRDefault="00A1507A" w:rsidP="00DB13AB">
      <w:pPr>
        <w:autoSpaceDE w:val="0"/>
        <w:autoSpaceDN w:val="0"/>
        <w:adjustRightInd w:val="0"/>
        <w:spacing w:after="0" w:line="240" w:lineRule="auto"/>
        <w:ind w:firstLine="709"/>
        <w:jc w:val="both"/>
        <w:rPr>
          <w:rFonts w:ascii="Times New Roman" w:hAnsi="Times New Roman" w:cs="Times New Roman"/>
          <w:sz w:val="24"/>
          <w:szCs w:val="24"/>
        </w:rPr>
      </w:pPr>
      <w:r w:rsidRPr="006528B6">
        <w:rPr>
          <w:rFonts w:ascii="Times New Roman" w:hAnsi="Times New Roman" w:cs="Times New Roman"/>
          <w:sz w:val="24"/>
          <w:szCs w:val="24"/>
        </w:rPr>
        <w:t>È pertanto fortemente aumentato il</w:t>
      </w:r>
      <w:r w:rsidR="00CA581C" w:rsidRPr="006528B6">
        <w:rPr>
          <w:rFonts w:ascii="Times New Roman" w:hAnsi="Times New Roman" w:cs="Times New Roman"/>
          <w:sz w:val="24"/>
          <w:szCs w:val="24"/>
        </w:rPr>
        <w:t xml:space="preserve"> </w:t>
      </w:r>
      <w:r w:rsidRPr="006528B6">
        <w:rPr>
          <w:rFonts w:ascii="Times New Roman" w:hAnsi="Times New Roman" w:cs="Times New Roman"/>
          <w:sz w:val="24"/>
          <w:szCs w:val="24"/>
        </w:rPr>
        <w:t>consumo di dati, anche in virtù di un utilizzo</w:t>
      </w:r>
      <w:r w:rsidR="00B03420" w:rsidRPr="006528B6">
        <w:rPr>
          <w:rFonts w:ascii="Times New Roman" w:hAnsi="Times New Roman" w:cs="Times New Roman"/>
          <w:sz w:val="24"/>
          <w:szCs w:val="24"/>
        </w:rPr>
        <w:t xml:space="preserve"> </w:t>
      </w:r>
      <w:r w:rsidRPr="006528B6">
        <w:rPr>
          <w:rFonts w:ascii="Times New Roman" w:hAnsi="Times New Roman" w:cs="Times New Roman"/>
          <w:sz w:val="24"/>
          <w:szCs w:val="24"/>
        </w:rPr>
        <w:t>crescente di piattaforme che offrono servizi e</w:t>
      </w:r>
      <w:r w:rsidR="00DB13AB" w:rsidRPr="006528B6">
        <w:rPr>
          <w:rFonts w:ascii="Times New Roman" w:hAnsi="Times New Roman" w:cs="Times New Roman"/>
          <w:sz w:val="24"/>
          <w:szCs w:val="24"/>
        </w:rPr>
        <w:t xml:space="preserve"> </w:t>
      </w:r>
      <w:r w:rsidRPr="006528B6">
        <w:rPr>
          <w:rFonts w:ascii="Times New Roman" w:hAnsi="Times New Roman" w:cs="Times New Roman"/>
          <w:sz w:val="24"/>
          <w:szCs w:val="24"/>
        </w:rPr>
        <w:t>contenuti. Il più intenso</w:t>
      </w:r>
      <w:r w:rsidR="00DB13AB" w:rsidRPr="006528B6">
        <w:rPr>
          <w:rFonts w:ascii="Times New Roman" w:hAnsi="Times New Roman" w:cs="Times New Roman"/>
          <w:sz w:val="24"/>
          <w:szCs w:val="24"/>
        </w:rPr>
        <w:t xml:space="preserve"> </w:t>
      </w:r>
      <w:r w:rsidRPr="006528B6">
        <w:rPr>
          <w:rFonts w:ascii="Times New Roman" w:hAnsi="Times New Roman" w:cs="Times New Roman"/>
          <w:sz w:val="24"/>
          <w:szCs w:val="24"/>
        </w:rPr>
        <w:t>utilizzo delle linee a larga banda si evidenzia</w:t>
      </w:r>
      <w:r w:rsidR="00DB13AB" w:rsidRPr="006528B6">
        <w:rPr>
          <w:rFonts w:ascii="Times New Roman" w:hAnsi="Times New Roman" w:cs="Times New Roman"/>
          <w:sz w:val="24"/>
          <w:szCs w:val="24"/>
        </w:rPr>
        <w:t xml:space="preserve"> </w:t>
      </w:r>
      <w:r w:rsidRPr="006528B6">
        <w:rPr>
          <w:rFonts w:ascii="Times New Roman" w:hAnsi="Times New Roman" w:cs="Times New Roman"/>
          <w:sz w:val="24"/>
          <w:szCs w:val="24"/>
        </w:rPr>
        <w:t>nella crescita del traffico dati che, tra il 2014 e il</w:t>
      </w:r>
      <w:r w:rsidR="00DB13AB" w:rsidRPr="006528B6">
        <w:rPr>
          <w:rFonts w:ascii="Times New Roman" w:hAnsi="Times New Roman" w:cs="Times New Roman"/>
          <w:sz w:val="24"/>
          <w:szCs w:val="24"/>
        </w:rPr>
        <w:t xml:space="preserve"> </w:t>
      </w:r>
      <w:r w:rsidRPr="006528B6">
        <w:rPr>
          <w:rFonts w:ascii="Times New Roman" w:hAnsi="Times New Roman" w:cs="Times New Roman"/>
          <w:sz w:val="24"/>
          <w:szCs w:val="24"/>
        </w:rPr>
        <w:t xml:space="preserve">2020, è passato da una stima di 6.800 </w:t>
      </w:r>
      <w:r w:rsidRPr="006528B6">
        <w:rPr>
          <w:rFonts w:ascii="Times New Roman" w:hAnsi="Times New Roman" w:cs="Times New Roman"/>
          <w:sz w:val="24"/>
          <w:szCs w:val="24"/>
        </w:rPr>
        <w:lastRenderedPageBreak/>
        <w:t>Petabyte</w:t>
      </w:r>
      <w:r w:rsidR="00DB13AB" w:rsidRPr="006528B6">
        <w:rPr>
          <w:rFonts w:ascii="Times New Roman" w:hAnsi="Times New Roman" w:cs="Times New Roman"/>
          <w:sz w:val="24"/>
          <w:szCs w:val="24"/>
        </w:rPr>
        <w:t xml:space="preserve"> </w:t>
      </w:r>
      <w:r w:rsidRPr="006528B6">
        <w:rPr>
          <w:rFonts w:ascii="Times New Roman" w:hAnsi="Times New Roman" w:cs="Times New Roman"/>
          <w:sz w:val="24"/>
          <w:szCs w:val="24"/>
        </w:rPr>
        <w:t>ad oltre 39.000 (+474%)</w:t>
      </w:r>
      <w:r w:rsidR="00DB13AB" w:rsidRPr="006528B6">
        <w:rPr>
          <w:rFonts w:ascii="Times New Roman" w:hAnsi="Times New Roman" w:cs="Times New Roman"/>
          <w:sz w:val="24"/>
          <w:szCs w:val="24"/>
        </w:rPr>
        <w:t>.</w:t>
      </w:r>
      <w:r w:rsidRPr="006528B6">
        <w:rPr>
          <w:rFonts w:ascii="Times New Roman" w:hAnsi="Times New Roman" w:cs="Times New Roman"/>
          <w:sz w:val="24"/>
          <w:szCs w:val="24"/>
        </w:rPr>
        <w:t xml:space="preserve"> Ciò ha prodotto un aumento</w:t>
      </w:r>
      <w:r w:rsidR="00DB13AB" w:rsidRPr="006528B6">
        <w:rPr>
          <w:rFonts w:ascii="Times New Roman" w:hAnsi="Times New Roman" w:cs="Times New Roman"/>
          <w:sz w:val="24"/>
          <w:szCs w:val="24"/>
        </w:rPr>
        <w:t xml:space="preserve"> </w:t>
      </w:r>
      <w:r w:rsidRPr="006528B6">
        <w:rPr>
          <w:rFonts w:ascii="Times New Roman" w:hAnsi="Times New Roman" w:cs="Times New Roman"/>
          <w:sz w:val="24"/>
          <w:szCs w:val="24"/>
        </w:rPr>
        <w:t xml:space="preserve">del traffico mensile per linea </w:t>
      </w:r>
      <w:r w:rsidRPr="006528B6">
        <w:rPr>
          <w:rFonts w:ascii="Times New Roman" w:hAnsi="Times New Roman" w:cs="Times New Roman"/>
          <w:i/>
          <w:iCs/>
          <w:sz w:val="24"/>
          <w:szCs w:val="24"/>
        </w:rPr>
        <w:t>broadband</w:t>
      </w:r>
      <w:r w:rsidR="00DB13AB" w:rsidRPr="006528B6">
        <w:rPr>
          <w:rFonts w:ascii="Times New Roman" w:hAnsi="Times New Roman" w:cs="Times New Roman"/>
          <w:i/>
          <w:iCs/>
          <w:sz w:val="24"/>
          <w:szCs w:val="24"/>
        </w:rPr>
        <w:t xml:space="preserve"> </w:t>
      </w:r>
      <w:r w:rsidRPr="006528B6">
        <w:rPr>
          <w:rFonts w:ascii="Times New Roman" w:hAnsi="Times New Roman" w:cs="Times New Roman"/>
          <w:sz w:val="24"/>
          <w:szCs w:val="24"/>
        </w:rPr>
        <w:t>passato, nello stesso periodo, da poco più di 40</w:t>
      </w:r>
      <w:r w:rsidR="00DB13AB" w:rsidRPr="006528B6">
        <w:rPr>
          <w:rFonts w:ascii="Times New Roman" w:hAnsi="Times New Roman" w:cs="Times New Roman"/>
          <w:sz w:val="24"/>
          <w:szCs w:val="24"/>
        </w:rPr>
        <w:t xml:space="preserve"> </w:t>
      </w:r>
      <w:r w:rsidRPr="006528B6">
        <w:rPr>
          <w:rFonts w:ascii="Times New Roman" w:hAnsi="Times New Roman" w:cs="Times New Roman"/>
          <w:sz w:val="24"/>
          <w:szCs w:val="24"/>
        </w:rPr>
        <w:t>GB per linea ad oltre 190. Su tale andamento</w:t>
      </w:r>
      <w:r w:rsidR="00DB13AB" w:rsidRPr="006528B6">
        <w:rPr>
          <w:rFonts w:ascii="Times New Roman" w:hAnsi="Times New Roman" w:cs="Times New Roman"/>
          <w:sz w:val="24"/>
          <w:szCs w:val="24"/>
        </w:rPr>
        <w:t xml:space="preserve"> </w:t>
      </w:r>
      <w:r w:rsidRPr="006528B6">
        <w:rPr>
          <w:rFonts w:ascii="Times New Roman" w:hAnsi="Times New Roman" w:cs="Times New Roman"/>
          <w:sz w:val="24"/>
          <w:szCs w:val="24"/>
        </w:rPr>
        <w:t>è quanto mai evidente l’effetto della pandemia;</w:t>
      </w:r>
      <w:r w:rsidR="00DB13AB" w:rsidRPr="006528B6">
        <w:rPr>
          <w:rFonts w:ascii="Times New Roman" w:hAnsi="Times New Roman" w:cs="Times New Roman"/>
          <w:sz w:val="24"/>
          <w:szCs w:val="24"/>
        </w:rPr>
        <w:t xml:space="preserve"> </w:t>
      </w:r>
      <w:r w:rsidRPr="006528B6">
        <w:rPr>
          <w:rFonts w:ascii="Times New Roman" w:hAnsi="Times New Roman" w:cs="Times New Roman"/>
          <w:sz w:val="24"/>
          <w:szCs w:val="24"/>
        </w:rPr>
        <w:t>basti pensare che tra il 2019 e il 2020 vi è stato</w:t>
      </w:r>
      <w:r w:rsidR="00DB13AB" w:rsidRPr="006528B6">
        <w:rPr>
          <w:rFonts w:ascii="Times New Roman" w:hAnsi="Times New Roman" w:cs="Times New Roman"/>
          <w:sz w:val="24"/>
          <w:szCs w:val="24"/>
        </w:rPr>
        <w:t xml:space="preserve"> </w:t>
      </w:r>
      <w:r w:rsidRPr="006528B6">
        <w:rPr>
          <w:rFonts w:ascii="Times New Roman" w:hAnsi="Times New Roman" w:cs="Times New Roman"/>
          <w:sz w:val="24"/>
          <w:szCs w:val="24"/>
        </w:rPr>
        <w:t>un incremento del traffico medio di oltre il 46%</w:t>
      </w:r>
      <w:r w:rsidR="00DB13AB" w:rsidRPr="006528B6">
        <w:rPr>
          <w:rFonts w:ascii="Times New Roman" w:hAnsi="Times New Roman" w:cs="Times New Roman"/>
          <w:sz w:val="24"/>
          <w:szCs w:val="24"/>
        </w:rPr>
        <w:t xml:space="preserve"> </w:t>
      </w:r>
      <w:r w:rsidRPr="006528B6">
        <w:rPr>
          <w:rFonts w:ascii="Times New Roman" w:hAnsi="Times New Roman" w:cs="Times New Roman"/>
          <w:sz w:val="24"/>
          <w:szCs w:val="24"/>
        </w:rPr>
        <w:t>e, per il primo trimestre 2021, l’Autorità stima</w:t>
      </w:r>
      <w:r w:rsidR="00DB13AB" w:rsidRPr="006528B6">
        <w:rPr>
          <w:rFonts w:ascii="Times New Roman" w:hAnsi="Times New Roman" w:cs="Times New Roman"/>
          <w:sz w:val="24"/>
          <w:szCs w:val="24"/>
        </w:rPr>
        <w:t xml:space="preserve"> </w:t>
      </w:r>
      <w:r w:rsidRPr="006528B6">
        <w:rPr>
          <w:rFonts w:ascii="Times New Roman" w:hAnsi="Times New Roman" w:cs="Times New Roman"/>
          <w:sz w:val="24"/>
          <w:szCs w:val="24"/>
        </w:rPr>
        <w:t>un’ulteriore crescita nell’ordine del 5% rispetto</w:t>
      </w:r>
      <w:r w:rsidR="00DB13AB" w:rsidRPr="006528B6">
        <w:rPr>
          <w:rFonts w:ascii="Times New Roman" w:hAnsi="Times New Roman" w:cs="Times New Roman"/>
          <w:sz w:val="24"/>
          <w:szCs w:val="24"/>
        </w:rPr>
        <w:t xml:space="preserve"> </w:t>
      </w:r>
      <w:r w:rsidRPr="006528B6">
        <w:rPr>
          <w:rFonts w:ascii="Times New Roman" w:hAnsi="Times New Roman" w:cs="Times New Roman"/>
          <w:sz w:val="24"/>
          <w:szCs w:val="24"/>
        </w:rPr>
        <w:t>all’ultimo trimestre del 2020.</w:t>
      </w:r>
    </w:p>
    <w:p w14:paraId="7656B0C0" w14:textId="589F9B99" w:rsidR="00A1507A" w:rsidRPr="006528B6" w:rsidRDefault="00A1507A" w:rsidP="00DB13AB">
      <w:pPr>
        <w:autoSpaceDE w:val="0"/>
        <w:autoSpaceDN w:val="0"/>
        <w:adjustRightInd w:val="0"/>
        <w:spacing w:after="0" w:line="240" w:lineRule="auto"/>
        <w:ind w:firstLine="709"/>
        <w:jc w:val="both"/>
        <w:rPr>
          <w:rFonts w:ascii="Times New Roman" w:hAnsi="Times New Roman" w:cs="Times New Roman"/>
          <w:sz w:val="24"/>
          <w:szCs w:val="24"/>
        </w:rPr>
      </w:pPr>
      <w:r w:rsidRPr="006528B6">
        <w:rPr>
          <w:rFonts w:ascii="Times New Roman" w:hAnsi="Times New Roman" w:cs="Times New Roman"/>
          <w:sz w:val="24"/>
          <w:szCs w:val="24"/>
        </w:rPr>
        <w:t>La crisi sanitaria e le misure intraprese</w:t>
      </w:r>
      <w:r w:rsidR="00DB13AB" w:rsidRPr="006528B6">
        <w:rPr>
          <w:rFonts w:ascii="Times New Roman" w:hAnsi="Times New Roman" w:cs="Times New Roman"/>
          <w:sz w:val="24"/>
          <w:szCs w:val="24"/>
        </w:rPr>
        <w:t xml:space="preserve"> </w:t>
      </w:r>
      <w:r w:rsidRPr="006528B6">
        <w:rPr>
          <w:rFonts w:ascii="Times New Roman" w:hAnsi="Times New Roman" w:cs="Times New Roman"/>
          <w:sz w:val="24"/>
          <w:szCs w:val="24"/>
        </w:rPr>
        <w:t>per contrastarne gli effetti hanno ulteriormente</w:t>
      </w:r>
      <w:r w:rsidR="00DB13AB" w:rsidRPr="006528B6">
        <w:rPr>
          <w:rFonts w:ascii="Times New Roman" w:hAnsi="Times New Roman" w:cs="Times New Roman"/>
          <w:sz w:val="24"/>
          <w:szCs w:val="24"/>
        </w:rPr>
        <w:t xml:space="preserve"> </w:t>
      </w:r>
      <w:r w:rsidRPr="006528B6">
        <w:rPr>
          <w:rFonts w:ascii="Times New Roman" w:hAnsi="Times New Roman" w:cs="Times New Roman"/>
          <w:sz w:val="24"/>
          <w:szCs w:val="24"/>
        </w:rPr>
        <w:t>rafforzato il fondamentale ruolo che i servizi di</w:t>
      </w:r>
      <w:r w:rsidR="00DB13AB" w:rsidRPr="006528B6">
        <w:rPr>
          <w:rFonts w:ascii="Times New Roman" w:hAnsi="Times New Roman" w:cs="Times New Roman"/>
          <w:sz w:val="24"/>
          <w:szCs w:val="24"/>
        </w:rPr>
        <w:t xml:space="preserve"> </w:t>
      </w:r>
      <w:r w:rsidRPr="006528B6">
        <w:rPr>
          <w:rFonts w:ascii="Times New Roman" w:hAnsi="Times New Roman" w:cs="Times New Roman"/>
          <w:sz w:val="24"/>
          <w:szCs w:val="24"/>
        </w:rPr>
        <w:t>comunicazione elettronica, in generale, e quelli</w:t>
      </w:r>
      <w:r w:rsidR="00DB13AB" w:rsidRPr="006528B6">
        <w:rPr>
          <w:rFonts w:ascii="Times New Roman" w:hAnsi="Times New Roman" w:cs="Times New Roman"/>
          <w:sz w:val="24"/>
          <w:szCs w:val="24"/>
        </w:rPr>
        <w:t xml:space="preserve"> </w:t>
      </w:r>
      <w:r w:rsidRPr="006528B6">
        <w:rPr>
          <w:rFonts w:ascii="Times New Roman" w:hAnsi="Times New Roman" w:cs="Times New Roman"/>
          <w:sz w:val="24"/>
          <w:szCs w:val="24"/>
        </w:rPr>
        <w:t>da rete fissa, in particolare, assumono nel contesto</w:t>
      </w:r>
      <w:r w:rsidR="00DB13AB" w:rsidRPr="006528B6">
        <w:rPr>
          <w:rFonts w:ascii="Times New Roman" w:hAnsi="Times New Roman" w:cs="Times New Roman"/>
          <w:sz w:val="24"/>
          <w:szCs w:val="24"/>
        </w:rPr>
        <w:t xml:space="preserve"> </w:t>
      </w:r>
      <w:r w:rsidRPr="006528B6">
        <w:rPr>
          <w:rFonts w:ascii="Times New Roman" w:hAnsi="Times New Roman" w:cs="Times New Roman"/>
          <w:sz w:val="24"/>
          <w:szCs w:val="24"/>
        </w:rPr>
        <w:t>di una società orientata sempre di più al digitale.</w:t>
      </w:r>
      <w:r w:rsidR="00DB13AB" w:rsidRPr="006528B6">
        <w:rPr>
          <w:rFonts w:ascii="Times New Roman" w:hAnsi="Times New Roman" w:cs="Times New Roman"/>
          <w:sz w:val="24"/>
          <w:szCs w:val="24"/>
        </w:rPr>
        <w:t xml:space="preserve"> </w:t>
      </w:r>
      <w:r w:rsidRPr="006528B6">
        <w:rPr>
          <w:rFonts w:ascii="Times New Roman" w:hAnsi="Times New Roman" w:cs="Times New Roman"/>
          <w:sz w:val="24"/>
          <w:szCs w:val="24"/>
        </w:rPr>
        <w:t>In tal senso, nel Piano Nazionale di Ripresa</w:t>
      </w:r>
      <w:r w:rsidR="00DB13AB" w:rsidRPr="006528B6">
        <w:rPr>
          <w:rFonts w:ascii="Times New Roman" w:hAnsi="Times New Roman" w:cs="Times New Roman"/>
          <w:sz w:val="24"/>
          <w:szCs w:val="24"/>
        </w:rPr>
        <w:t xml:space="preserve"> </w:t>
      </w:r>
      <w:r w:rsidRPr="006528B6">
        <w:rPr>
          <w:rFonts w:ascii="Times New Roman" w:hAnsi="Times New Roman" w:cs="Times New Roman"/>
          <w:sz w:val="24"/>
          <w:szCs w:val="24"/>
        </w:rPr>
        <w:t>e Resilienza (PNRR) al tema della disponibilità</w:t>
      </w:r>
      <w:r w:rsidR="00DB13AB" w:rsidRPr="006528B6">
        <w:rPr>
          <w:rFonts w:ascii="Times New Roman" w:hAnsi="Times New Roman" w:cs="Times New Roman"/>
          <w:sz w:val="24"/>
          <w:szCs w:val="24"/>
        </w:rPr>
        <w:t xml:space="preserve"> </w:t>
      </w:r>
      <w:r w:rsidRPr="006528B6">
        <w:rPr>
          <w:rFonts w:ascii="Times New Roman" w:hAnsi="Times New Roman" w:cs="Times New Roman"/>
          <w:sz w:val="24"/>
          <w:szCs w:val="24"/>
        </w:rPr>
        <w:t>di reti ultraveloci (rete in fibra e 5G) viene attribuito</w:t>
      </w:r>
      <w:r w:rsidR="00DB13AB" w:rsidRPr="006528B6">
        <w:rPr>
          <w:rFonts w:ascii="Times New Roman" w:hAnsi="Times New Roman" w:cs="Times New Roman"/>
          <w:sz w:val="24"/>
          <w:szCs w:val="24"/>
        </w:rPr>
        <w:t xml:space="preserve"> </w:t>
      </w:r>
      <w:r w:rsidRPr="006528B6">
        <w:rPr>
          <w:rFonts w:ascii="Times New Roman" w:hAnsi="Times New Roman" w:cs="Times New Roman"/>
          <w:sz w:val="24"/>
          <w:szCs w:val="24"/>
        </w:rPr>
        <w:t>un ruolo centrale per la ripresa economica</w:t>
      </w:r>
      <w:r w:rsidR="00DB13AB" w:rsidRPr="006528B6">
        <w:rPr>
          <w:rFonts w:ascii="Times New Roman" w:hAnsi="Times New Roman" w:cs="Times New Roman"/>
          <w:sz w:val="24"/>
          <w:szCs w:val="24"/>
        </w:rPr>
        <w:t xml:space="preserve"> </w:t>
      </w:r>
      <w:r w:rsidRPr="006528B6">
        <w:rPr>
          <w:rFonts w:ascii="Times New Roman" w:hAnsi="Times New Roman" w:cs="Times New Roman"/>
          <w:sz w:val="24"/>
          <w:szCs w:val="24"/>
        </w:rPr>
        <w:t>e produttiva dell’Italia post-emergenziale, quale</w:t>
      </w:r>
      <w:r w:rsidR="00DB13AB" w:rsidRPr="006528B6">
        <w:rPr>
          <w:rFonts w:ascii="Times New Roman" w:hAnsi="Times New Roman" w:cs="Times New Roman"/>
          <w:sz w:val="24"/>
          <w:szCs w:val="24"/>
        </w:rPr>
        <w:t xml:space="preserve"> </w:t>
      </w:r>
      <w:r w:rsidRPr="006528B6">
        <w:rPr>
          <w:rFonts w:ascii="Times New Roman" w:hAnsi="Times New Roman" w:cs="Times New Roman"/>
          <w:sz w:val="24"/>
          <w:szCs w:val="24"/>
        </w:rPr>
        <w:t>vettore strategico per consentire l’offerta ai cittadini</w:t>
      </w:r>
      <w:r w:rsidR="00DB13AB" w:rsidRPr="006528B6">
        <w:rPr>
          <w:rFonts w:ascii="Times New Roman" w:hAnsi="Times New Roman" w:cs="Times New Roman"/>
          <w:sz w:val="24"/>
          <w:szCs w:val="24"/>
        </w:rPr>
        <w:t xml:space="preserve"> </w:t>
      </w:r>
      <w:r w:rsidRPr="006528B6">
        <w:rPr>
          <w:rFonts w:ascii="Times New Roman" w:hAnsi="Times New Roman" w:cs="Times New Roman"/>
          <w:sz w:val="24"/>
          <w:szCs w:val="24"/>
        </w:rPr>
        <w:t>di servizi e applicazioni avanzate da parte</w:t>
      </w:r>
      <w:r w:rsidR="00DB13AB" w:rsidRPr="006528B6">
        <w:rPr>
          <w:rFonts w:ascii="Times New Roman" w:hAnsi="Times New Roman" w:cs="Times New Roman"/>
          <w:sz w:val="24"/>
          <w:szCs w:val="24"/>
        </w:rPr>
        <w:t xml:space="preserve"> </w:t>
      </w:r>
      <w:r w:rsidRPr="006528B6">
        <w:rPr>
          <w:rFonts w:ascii="Times New Roman" w:hAnsi="Times New Roman" w:cs="Times New Roman"/>
          <w:sz w:val="24"/>
          <w:szCs w:val="24"/>
        </w:rPr>
        <w:t>della pubblica amministrazione e delle imprese.</w:t>
      </w:r>
    </w:p>
    <w:p w14:paraId="2078ACC0" w14:textId="24AA914C" w:rsidR="00A1507A" w:rsidRPr="006528B6" w:rsidRDefault="00A1507A" w:rsidP="002B40CE">
      <w:pPr>
        <w:autoSpaceDE w:val="0"/>
        <w:autoSpaceDN w:val="0"/>
        <w:adjustRightInd w:val="0"/>
        <w:spacing w:after="0" w:line="240" w:lineRule="auto"/>
        <w:ind w:firstLine="709"/>
        <w:jc w:val="both"/>
        <w:rPr>
          <w:rFonts w:ascii="Times New Roman" w:hAnsi="Times New Roman" w:cs="Times New Roman"/>
          <w:sz w:val="24"/>
          <w:szCs w:val="24"/>
        </w:rPr>
      </w:pPr>
      <w:r w:rsidRPr="006528B6">
        <w:rPr>
          <w:rFonts w:ascii="Times New Roman" w:hAnsi="Times New Roman" w:cs="Times New Roman"/>
          <w:sz w:val="24"/>
          <w:szCs w:val="24"/>
        </w:rPr>
        <w:t>Attualmente la copertura del territorio nazionale,</w:t>
      </w:r>
      <w:r w:rsidR="00DB13AB" w:rsidRPr="006528B6">
        <w:rPr>
          <w:rFonts w:ascii="Times New Roman" w:hAnsi="Times New Roman" w:cs="Times New Roman"/>
          <w:sz w:val="24"/>
          <w:szCs w:val="24"/>
        </w:rPr>
        <w:t xml:space="preserve"> </w:t>
      </w:r>
      <w:r w:rsidRPr="006528B6">
        <w:rPr>
          <w:rFonts w:ascii="Times New Roman" w:hAnsi="Times New Roman" w:cs="Times New Roman"/>
          <w:sz w:val="24"/>
          <w:szCs w:val="24"/>
        </w:rPr>
        <w:t>considerando l’infrastruttura qualitativamente</w:t>
      </w:r>
      <w:r w:rsidR="00DB13AB" w:rsidRPr="006528B6">
        <w:rPr>
          <w:rFonts w:ascii="Times New Roman" w:hAnsi="Times New Roman" w:cs="Times New Roman"/>
          <w:sz w:val="24"/>
          <w:szCs w:val="24"/>
        </w:rPr>
        <w:t xml:space="preserve"> </w:t>
      </w:r>
      <w:r w:rsidRPr="006528B6">
        <w:rPr>
          <w:rFonts w:ascii="Times New Roman" w:hAnsi="Times New Roman" w:cs="Times New Roman"/>
          <w:sz w:val="24"/>
          <w:szCs w:val="24"/>
        </w:rPr>
        <w:t>capace di garantire prestazioni in termini di velocità</w:t>
      </w:r>
      <w:r w:rsidR="00DB13AB" w:rsidRPr="006528B6">
        <w:rPr>
          <w:rFonts w:ascii="Times New Roman" w:hAnsi="Times New Roman" w:cs="Times New Roman"/>
          <w:sz w:val="24"/>
          <w:szCs w:val="24"/>
        </w:rPr>
        <w:t xml:space="preserve"> </w:t>
      </w:r>
      <w:r w:rsidRPr="006528B6">
        <w:rPr>
          <w:rFonts w:ascii="Times New Roman" w:hAnsi="Times New Roman" w:cs="Times New Roman"/>
          <w:sz w:val="24"/>
          <w:szCs w:val="24"/>
        </w:rPr>
        <w:t>di connessioni migliori, ovverosia la fibra</w:t>
      </w:r>
      <w:r w:rsidR="00DB13AB" w:rsidRPr="006528B6">
        <w:rPr>
          <w:rFonts w:ascii="Times New Roman" w:hAnsi="Times New Roman" w:cs="Times New Roman"/>
          <w:sz w:val="24"/>
          <w:szCs w:val="24"/>
        </w:rPr>
        <w:t xml:space="preserve"> </w:t>
      </w:r>
      <w:r w:rsidRPr="006528B6">
        <w:rPr>
          <w:rFonts w:ascii="Times New Roman" w:hAnsi="Times New Roman" w:cs="Times New Roman"/>
          <w:sz w:val="24"/>
          <w:szCs w:val="24"/>
        </w:rPr>
        <w:t>ottica (tecnologia FT), risulta pari al 33,7% delle</w:t>
      </w:r>
      <w:r w:rsidR="00DB13AB" w:rsidRPr="006528B6">
        <w:rPr>
          <w:rFonts w:ascii="Times New Roman" w:hAnsi="Times New Roman" w:cs="Times New Roman"/>
          <w:sz w:val="24"/>
          <w:szCs w:val="24"/>
        </w:rPr>
        <w:t xml:space="preserve"> </w:t>
      </w:r>
      <w:r w:rsidRPr="006528B6">
        <w:rPr>
          <w:rFonts w:ascii="Times New Roman" w:hAnsi="Times New Roman" w:cs="Times New Roman"/>
          <w:sz w:val="24"/>
          <w:szCs w:val="24"/>
        </w:rPr>
        <w:t>famiglie italiane, in crescita rispetto al 30% del 2019. Solo la disponibilità di adeguate infrastrutture</w:t>
      </w:r>
      <w:r w:rsidR="00DB13AB" w:rsidRPr="006528B6">
        <w:rPr>
          <w:rFonts w:ascii="Times New Roman" w:hAnsi="Times New Roman" w:cs="Times New Roman"/>
          <w:sz w:val="24"/>
          <w:szCs w:val="24"/>
        </w:rPr>
        <w:t xml:space="preserve"> </w:t>
      </w:r>
      <w:r w:rsidRPr="006528B6">
        <w:rPr>
          <w:rFonts w:ascii="Times New Roman" w:hAnsi="Times New Roman" w:cs="Times New Roman"/>
          <w:sz w:val="24"/>
          <w:szCs w:val="24"/>
        </w:rPr>
        <w:t xml:space="preserve">potrà consentire nei prossimi anni quel </w:t>
      </w:r>
      <w:r w:rsidR="002B40CE" w:rsidRPr="006528B6">
        <w:rPr>
          <w:rFonts w:ascii="Times New Roman" w:hAnsi="Times New Roman" w:cs="Times New Roman"/>
          <w:sz w:val="24"/>
          <w:szCs w:val="24"/>
        </w:rPr>
        <w:t>salto di</w:t>
      </w:r>
      <w:r w:rsidRPr="006528B6">
        <w:rPr>
          <w:rFonts w:ascii="Times New Roman" w:hAnsi="Times New Roman" w:cs="Times New Roman"/>
          <w:sz w:val="24"/>
          <w:szCs w:val="24"/>
        </w:rPr>
        <w:t xml:space="preserve"> produttività sistemica necessario a innescare</w:t>
      </w:r>
      <w:r w:rsidR="00DB13AB" w:rsidRPr="006528B6">
        <w:rPr>
          <w:rFonts w:ascii="Times New Roman" w:hAnsi="Times New Roman" w:cs="Times New Roman"/>
          <w:sz w:val="24"/>
          <w:szCs w:val="24"/>
        </w:rPr>
        <w:t xml:space="preserve"> </w:t>
      </w:r>
      <w:r w:rsidRPr="006528B6">
        <w:rPr>
          <w:rFonts w:ascii="Times New Roman" w:hAnsi="Times New Roman" w:cs="Times New Roman"/>
          <w:sz w:val="24"/>
          <w:szCs w:val="24"/>
        </w:rPr>
        <w:t>una robusta e strutturale crescita economica del</w:t>
      </w:r>
      <w:r w:rsidR="002B40CE" w:rsidRPr="006528B6">
        <w:rPr>
          <w:rFonts w:ascii="Times New Roman" w:hAnsi="Times New Roman" w:cs="Times New Roman"/>
          <w:sz w:val="24"/>
          <w:szCs w:val="24"/>
        </w:rPr>
        <w:t xml:space="preserve"> </w:t>
      </w:r>
      <w:r w:rsidRPr="006528B6">
        <w:rPr>
          <w:rFonts w:ascii="Times New Roman" w:hAnsi="Times New Roman" w:cs="Times New Roman"/>
          <w:sz w:val="24"/>
          <w:szCs w:val="24"/>
        </w:rPr>
        <w:t>Paese. Tale attenzione, come è noto, si è tradotta</w:t>
      </w:r>
      <w:r w:rsidR="002B40CE" w:rsidRPr="006528B6">
        <w:rPr>
          <w:rFonts w:ascii="Times New Roman" w:hAnsi="Times New Roman" w:cs="Times New Roman"/>
          <w:sz w:val="24"/>
          <w:szCs w:val="24"/>
        </w:rPr>
        <w:t xml:space="preserve"> </w:t>
      </w:r>
      <w:r w:rsidRPr="006528B6">
        <w:rPr>
          <w:rFonts w:ascii="Times New Roman" w:hAnsi="Times New Roman" w:cs="Times New Roman"/>
          <w:sz w:val="24"/>
          <w:szCs w:val="24"/>
        </w:rPr>
        <w:t>nello stanziamento nel PNRR di complessivi 6,3</w:t>
      </w:r>
      <w:r w:rsidR="002B40CE" w:rsidRPr="006528B6">
        <w:rPr>
          <w:rFonts w:ascii="Times New Roman" w:hAnsi="Times New Roman" w:cs="Times New Roman"/>
          <w:sz w:val="24"/>
          <w:szCs w:val="24"/>
        </w:rPr>
        <w:t xml:space="preserve"> </w:t>
      </w:r>
      <w:r w:rsidRPr="006528B6">
        <w:rPr>
          <w:rFonts w:ascii="Times New Roman" w:hAnsi="Times New Roman" w:cs="Times New Roman"/>
          <w:sz w:val="24"/>
          <w:szCs w:val="24"/>
        </w:rPr>
        <w:t>miliardi da investire in reti fisse e mobili ad altissima</w:t>
      </w:r>
      <w:r w:rsidR="002B40CE" w:rsidRPr="006528B6">
        <w:rPr>
          <w:rFonts w:ascii="Times New Roman" w:hAnsi="Times New Roman" w:cs="Times New Roman"/>
          <w:sz w:val="24"/>
          <w:szCs w:val="24"/>
        </w:rPr>
        <w:t xml:space="preserve"> </w:t>
      </w:r>
      <w:r w:rsidRPr="006528B6">
        <w:rPr>
          <w:rFonts w:ascii="Times New Roman" w:hAnsi="Times New Roman" w:cs="Times New Roman"/>
          <w:sz w:val="24"/>
          <w:szCs w:val="24"/>
        </w:rPr>
        <w:t>velocità.</w:t>
      </w:r>
    </w:p>
    <w:p w14:paraId="79C209C9" w14:textId="62F56246" w:rsidR="00A1507A" w:rsidRPr="006528B6" w:rsidRDefault="00A1507A" w:rsidP="002B40CE">
      <w:pPr>
        <w:autoSpaceDE w:val="0"/>
        <w:autoSpaceDN w:val="0"/>
        <w:adjustRightInd w:val="0"/>
        <w:spacing w:after="0" w:line="240" w:lineRule="auto"/>
        <w:ind w:firstLine="709"/>
        <w:jc w:val="both"/>
        <w:rPr>
          <w:rFonts w:ascii="Times New Roman" w:hAnsi="Times New Roman" w:cs="Times New Roman"/>
          <w:sz w:val="24"/>
          <w:szCs w:val="24"/>
        </w:rPr>
      </w:pPr>
      <w:r w:rsidRPr="006528B6">
        <w:rPr>
          <w:rFonts w:ascii="Times New Roman" w:hAnsi="Times New Roman" w:cs="Times New Roman"/>
          <w:sz w:val="24"/>
          <w:szCs w:val="24"/>
        </w:rPr>
        <w:t>Guardando all’attuale situazione della</w:t>
      </w:r>
      <w:r w:rsidR="002B40CE" w:rsidRPr="006528B6">
        <w:rPr>
          <w:rFonts w:ascii="Times New Roman" w:hAnsi="Times New Roman" w:cs="Times New Roman"/>
          <w:sz w:val="24"/>
          <w:szCs w:val="24"/>
        </w:rPr>
        <w:t xml:space="preserve"> </w:t>
      </w:r>
      <w:r w:rsidRPr="006528B6">
        <w:rPr>
          <w:rFonts w:ascii="Times New Roman" w:hAnsi="Times New Roman" w:cs="Times New Roman"/>
          <w:sz w:val="24"/>
          <w:szCs w:val="24"/>
        </w:rPr>
        <w:t>diffusione dei servizi a larga banda sul territorio</w:t>
      </w:r>
      <w:r w:rsidR="002B40CE" w:rsidRPr="006528B6">
        <w:rPr>
          <w:rFonts w:ascii="Times New Roman" w:hAnsi="Times New Roman" w:cs="Times New Roman"/>
          <w:sz w:val="24"/>
          <w:szCs w:val="24"/>
        </w:rPr>
        <w:t xml:space="preserve"> </w:t>
      </w:r>
      <w:r w:rsidRPr="006528B6">
        <w:rPr>
          <w:rFonts w:ascii="Times New Roman" w:hAnsi="Times New Roman" w:cs="Times New Roman"/>
          <w:sz w:val="24"/>
          <w:szCs w:val="24"/>
        </w:rPr>
        <w:t xml:space="preserve">italiano, a fine 2020 gli accessi </w:t>
      </w:r>
      <w:r w:rsidRPr="006528B6">
        <w:rPr>
          <w:rFonts w:ascii="Times New Roman" w:hAnsi="Times New Roman" w:cs="Times New Roman"/>
          <w:i/>
          <w:iCs/>
          <w:sz w:val="24"/>
          <w:szCs w:val="24"/>
        </w:rPr>
        <w:t xml:space="preserve">broadband </w:t>
      </w:r>
      <w:r w:rsidRPr="006528B6">
        <w:rPr>
          <w:rFonts w:ascii="Times New Roman" w:hAnsi="Times New Roman" w:cs="Times New Roman"/>
          <w:sz w:val="24"/>
          <w:szCs w:val="24"/>
        </w:rPr>
        <w:t>e</w:t>
      </w:r>
      <w:r w:rsidR="002B40CE" w:rsidRPr="006528B6">
        <w:rPr>
          <w:rFonts w:ascii="Times New Roman" w:hAnsi="Times New Roman" w:cs="Times New Roman"/>
          <w:sz w:val="24"/>
          <w:szCs w:val="24"/>
        </w:rPr>
        <w:t xml:space="preserve"> </w:t>
      </w:r>
      <w:r w:rsidRPr="006528B6">
        <w:rPr>
          <w:rFonts w:ascii="Times New Roman" w:hAnsi="Times New Roman" w:cs="Times New Roman"/>
          <w:i/>
          <w:iCs/>
          <w:sz w:val="24"/>
          <w:szCs w:val="24"/>
        </w:rPr>
        <w:t xml:space="preserve">ultrabroadband </w:t>
      </w:r>
      <w:r w:rsidRPr="006528B6">
        <w:rPr>
          <w:rFonts w:ascii="Times New Roman" w:hAnsi="Times New Roman" w:cs="Times New Roman"/>
          <w:sz w:val="24"/>
          <w:szCs w:val="24"/>
        </w:rPr>
        <w:t>residenziali e affari hanno superato</w:t>
      </w:r>
      <w:r w:rsidR="002B40CE" w:rsidRPr="006528B6">
        <w:rPr>
          <w:rFonts w:ascii="Times New Roman" w:hAnsi="Times New Roman" w:cs="Times New Roman"/>
          <w:sz w:val="24"/>
          <w:szCs w:val="24"/>
        </w:rPr>
        <w:t xml:space="preserve"> </w:t>
      </w:r>
      <w:r w:rsidRPr="006528B6">
        <w:rPr>
          <w:rFonts w:ascii="Times New Roman" w:hAnsi="Times New Roman" w:cs="Times New Roman"/>
          <w:sz w:val="24"/>
          <w:szCs w:val="24"/>
        </w:rPr>
        <w:t>18,1 milioni di unità, pari ad un rapporto</w:t>
      </w:r>
      <w:r w:rsidR="002B40CE" w:rsidRPr="006528B6">
        <w:rPr>
          <w:rFonts w:ascii="Times New Roman" w:hAnsi="Times New Roman" w:cs="Times New Roman"/>
          <w:sz w:val="24"/>
          <w:szCs w:val="24"/>
        </w:rPr>
        <w:t xml:space="preserve"> </w:t>
      </w:r>
      <w:r w:rsidRPr="006528B6">
        <w:rPr>
          <w:rFonts w:ascii="Times New Roman" w:hAnsi="Times New Roman" w:cs="Times New Roman"/>
          <w:sz w:val="24"/>
          <w:szCs w:val="24"/>
        </w:rPr>
        <w:t>di 30,4 linee ogni 100 abitanti. Tale indicatore è</w:t>
      </w:r>
      <w:r w:rsidR="002B40CE" w:rsidRPr="006528B6">
        <w:rPr>
          <w:rFonts w:ascii="Times New Roman" w:hAnsi="Times New Roman" w:cs="Times New Roman"/>
          <w:sz w:val="24"/>
          <w:szCs w:val="24"/>
        </w:rPr>
        <w:t xml:space="preserve"> </w:t>
      </w:r>
      <w:r w:rsidRPr="006528B6">
        <w:rPr>
          <w:rFonts w:ascii="Times New Roman" w:hAnsi="Times New Roman" w:cs="Times New Roman"/>
          <w:sz w:val="24"/>
          <w:szCs w:val="24"/>
        </w:rPr>
        <w:t>pari a 20,4 linee per 100 abitanti per le connessioni</w:t>
      </w:r>
      <w:r w:rsidR="002B40CE" w:rsidRPr="006528B6">
        <w:rPr>
          <w:rFonts w:ascii="Times New Roman" w:hAnsi="Times New Roman" w:cs="Times New Roman"/>
          <w:sz w:val="24"/>
          <w:szCs w:val="24"/>
        </w:rPr>
        <w:t xml:space="preserve"> </w:t>
      </w:r>
      <w:r w:rsidRPr="006528B6">
        <w:rPr>
          <w:rFonts w:ascii="Times New Roman" w:hAnsi="Times New Roman" w:cs="Times New Roman"/>
          <w:sz w:val="24"/>
          <w:szCs w:val="24"/>
        </w:rPr>
        <w:t>con capacità maggiori di 30 Mbit/s (16%</w:t>
      </w:r>
      <w:r w:rsidR="002B40CE" w:rsidRPr="006528B6">
        <w:rPr>
          <w:rFonts w:ascii="Times New Roman" w:hAnsi="Times New Roman" w:cs="Times New Roman"/>
          <w:sz w:val="24"/>
          <w:szCs w:val="24"/>
        </w:rPr>
        <w:t xml:space="preserve"> </w:t>
      </w:r>
      <w:r w:rsidRPr="006528B6">
        <w:rPr>
          <w:rFonts w:ascii="Times New Roman" w:hAnsi="Times New Roman" w:cs="Times New Roman"/>
          <w:sz w:val="24"/>
          <w:szCs w:val="24"/>
        </w:rPr>
        <w:t>nel 2019) e scende a 15,6 linee (11,7% lo scorso</w:t>
      </w:r>
      <w:r w:rsidR="002B40CE" w:rsidRPr="006528B6">
        <w:rPr>
          <w:rFonts w:ascii="Times New Roman" w:hAnsi="Times New Roman" w:cs="Times New Roman"/>
          <w:sz w:val="24"/>
          <w:szCs w:val="24"/>
        </w:rPr>
        <w:t xml:space="preserve"> </w:t>
      </w:r>
      <w:r w:rsidRPr="006528B6">
        <w:rPr>
          <w:rFonts w:ascii="Times New Roman" w:hAnsi="Times New Roman" w:cs="Times New Roman"/>
          <w:sz w:val="24"/>
          <w:szCs w:val="24"/>
        </w:rPr>
        <w:t>anno) con riguardo a quelle con velocità superiore</w:t>
      </w:r>
      <w:r w:rsidR="002B40CE" w:rsidRPr="006528B6">
        <w:rPr>
          <w:rFonts w:ascii="Times New Roman" w:hAnsi="Times New Roman" w:cs="Times New Roman"/>
          <w:sz w:val="24"/>
          <w:szCs w:val="24"/>
        </w:rPr>
        <w:t xml:space="preserve"> </w:t>
      </w:r>
      <w:r w:rsidRPr="006528B6">
        <w:rPr>
          <w:rFonts w:ascii="Times New Roman" w:hAnsi="Times New Roman" w:cs="Times New Roman"/>
          <w:sz w:val="24"/>
          <w:szCs w:val="24"/>
        </w:rPr>
        <w:t>a 100 Mbit/s61.</w:t>
      </w:r>
    </w:p>
    <w:p w14:paraId="6FFBE02D" w14:textId="6806219E" w:rsidR="00A1507A" w:rsidRPr="006528B6" w:rsidRDefault="00A1507A" w:rsidP="002B40CE">
      <w:pPr>
        <w:autoSpaceDE w:val="0"/>
        <w:autoSpaceDN w:val="0"/>
        <w:adjustRightInd w:val="0"/>
        <w:spacing w:after="0" w:line="240" w:lineRule="auto"/>
        <w:ind w:firstLine="709"/>
        <w:jc w:val="both"/>
        <w:rPr>
          <w:rFonts w:ascii="Times New Roman" w:hAnsi="Times New Roman" w:cs="Times New Roman"/>
          <w:sz w:val="24"/>
          <w:szCs w:val="24"/>
        </w:rPr>
      </w:pPr>
      <w:r w:rsidRPr="006528B6">
        <w:rPr>
          <w:rFonts w:ascii="Times New Roman" w:hAnsi="Times New Roman" w:cs="Times New Roman"/>
          <w:sz w:val="24"/>
          <w:szCs w:val="24"/>
        </w:rPr>
        <w:t>Rimangono, come già evidenziato nelle</w:t>
      </w:r>
      <w:r w:rsidR="002B40CE" w:rsidRPr="006528B6">
        <w:rPr>
          <w:rFonts w:ascii="Times New Roman" w:hAnsi="Times New Roman" w:cs="Times New Roman"/>
          <w:sz w:val="24"/>
          <w:szCs w:val="24"/>
        </w:rPr>
        <w:t xml:space="preserve"> </w:t>
      </w:r>
      <w:r w:rsidRPr="006528B6">
        <w:rPr>
          <w:rFonts w:ascii="Times New Roman" w:hAnsi="Times New Roman" w:cs="Times New Roman"/>
          <w:sz w:val="24"/>
          <w:szCs w:val="24"/>
        </w:rPr>
        <w:t>precedenti relazioni annuali, significative differenze</w:t>
      </w:r>
    </w:p>
    <w:p w14:paraId="180AE567" w14:textId="3834961E" w:rsidR="00A1507A" w:rsidRPr="006528B6" w:rsidRDefault="00A1507A" w:rsidP="00A1507A">
      <w:pPr>
        <w:autoSpaceDE w:val="0"/>
        <w:autoSpaceDN w:val="0"/>
        <w:adjustRightInd w:val="0"/>
        <w:spacing w:after="0" w:line="240" w:lineRule="auto"/>
        <w:jc w:val="both"/>
        <w:rPr>
          <w:rFonts w:ascii="Times New Roman" w:hAnsi="Times New Roman" w:cs="Times New Roman"/>
          <w:sz w:val="24"/>
          <w:szCs w:val="24"/>
        </w:rPr>
      </w:pPr>
      <w:r w:rsidRPr="006528B6">
        <w:rPr>
          <w:rFonts w:ascii="Times New Roman" w:hAnsi="Times New Roman" w:cs="Times New Roman"/>
          <w:sz w:val="24"/>
          <w:szCs w:val="24"/>
        </w:rPr>
        <w:t>territoriali nella diffusione di tali servizi,</w:t>
      </w:r>
      <w:r w:rsidR="002B40CE" w:rsidRPr="006528B6">
        <w:rPr>
          <w:rFonts w:ascii="Times New Roman" w:hAnsi="Times New Roman" w:cs="Times New Roman"/>
          <w:sz w:val="24"/>
          <w:szCs w:val="24"/>
        </w:rPr>
        <w:t xml:space="preserve"> </w:t>
      </w:r>
      <w:r w:rsidR="00997BF9" w:rsidRPr="006528B6">
        <w:rPr>
          <w:rFonts w:ascii="Times New Roman" w:hAnsi="Times New Roman" w:cs="Times New Roman"/>
          <w:sz w:val="24"/>
          <w:szCs w:val="24"/>
        </w:rPr>
        <w:t>in relazione al</w:t>
      </w:r>
      <w:r w:rsidRPr="006528B6">
        <w:rPr>
          <w:rFonts w:ascii="Times New Roman" w:hAnsi="Times New Roman" w:cs="Times New Roman"/>
          <w:sz w:val="24"/>
          <w:szCs w:val="24"/>
        </w:rPr>
        <w:t>la diffusione su base provinciale</w:t>
      </w:r>
      <w:r w:rsidR="002B40CE" w:rsidRPr="006528B6">
        <w:rPr>
          <w:rFonts w:ascii="Times New Roman" w:hAnsi="Times New Roman" w:cs="Times New Roman"/>
          <w:sz w:val="24"/>
          <w:szCs w:val="24"/>
        </w:rPr>
        <w:t xml:space="preserve"> </w:t>
      </w:r>
      <w:r w:rsidRPr="006528B6">
        <w:rPr>
          <w:rFonts w:ascii="Times New Roman" w:hAnsi="Times New Roman" w:cs="Times New Roman"/>
          <w:sz w:val="24"/>
          <w:szCs w:val="24"/>
        </w:rPr>
        <w:t>dei servizi di accesso a banda larga e</w:t>
      </w:r>
      <w:r w:rsidR="002B40CE" w:rsidRPr="006528B6">
        <w:rPr>
          <w:rFonts w:ascii="Times New Roman" w:hAnsi="Times New Roman" w:cs="Times New Roman"/>
          <w:sz w:val="24"/>
          <w:szCs w:val="24"/>
        </w:rPr>
        <w:t xml:space="preserve"> </w:t>
      </w:r>
      <w:r w:rsidRPr="006528B6">
        <w:rPr>
          <w:rFonts w:ascii="Times New Roman" w:hAnsi="Times New Roman" w:cs="Times New Roman"/>
          <w:sz w:val="24"/>
          <w:szCs w:val="24"/>
        </w:rPr>
        <w:t>ultra-larga presso le famiglie italiane. Si evidenzia, in generale, un divario strutturale</w:t>
      </w:r>
      <w:r w:rsidR="002B40CE" w:rsidRPr="006528B6">
        <w:rPr>
          <w:rFonts w:ascii="Times New Roman" w:hAnsi="Times New Roman" w:cs="Times New Roman"/>
          <w:sz w:val="24"/>
          <w:szCs w:val="24"/>
        </w:rPr>
        <w:t xml:space="preserve"> </w:t>
      </w:r>
      <w:r w:rsidRPr="006528B6">
        <w:rPr>
          <w:rFonts w:ascii="Times New Roman" w:hAnsi="Times New Roman" w:cs="Times New Roman"/>
          <w:sz w:val="24"/>
          <w:szCs w:val="24"/>
        </w:rPr>
        <w:t xml:space="preserve">tra le diverse </w:t>
      </w:r>
      <w:r w:rsidR="00997BF9" w:rsidRPr="006528B6">
        <w:rPr>
          <w:rFonts w:ascii="Times New Roman" w:hAnsi="Times New Roman" w:cs="Times New Roman"/>
          <w:sz w:val="24"/>
          <w:szCs w:val="24"/>
        </w:rPr>
        <w:t>macroregioni</w:t>
      </w:r>
      <w:r w:rsidRPr="006528B6">
        <w:rPr>
          <w:rFonts w:ascii="Times New Roman" w:hAnsi="Times New Roman" w:cs="Times New Roman"/>
          <w:sz w:val="24"/>
          <w:szCs w:val="24"/>
        </w:rPr>
        <w:t xml:space="preserve"> considerate,</w:t>
      </w:r>
      <w:r w:rsidR="002B40CE" w:rsidRPr="006528B6">
        <w:rPr>
          <w:rFonts w:ascii="Times New Roman" w:hAnsi="Times New Roman" w:cs="Times New Roman"/>
          <w:sz w:val="24"/>
          <w:szCs w:val="24"/>
        </w:rPr>
        <w:t xml:space="preserve"> </w:t>
      </w:r>
      <w:r w:rsidRPr="006528B6">
        <w:rPr>
          <w:rFonts w:ascii="Times New Roman" w:hAnsi="Times New Roman" w:cs="Times New Roman"/>
          <w:sz w:val="24"/>
          <w:szCs w:val="24"/>
        </w:rPr>
        <w:t>con il Nord-Ovest e il Centro in cui la diffusione</w:t>
      </w:r>
      <w:r w:rsidR="002B40CE" w:rsidRPr="006528B6">
        <w:rPr>
          <w:rFonts w:ascii="Times New Roman" w:hAnsi="Times New Roman" w:cs="Times New Roman"/>
          <w:sz w:val="24"/>
          <w:szCs w:val="24"/>
        </w:rPr>
        <w:t xml:space="preserve"> </w:t>
      </w:r>
      <w:r w:rsidRPr="006528B6">
        <w:rPr>
          <w:rFonts w:ascii="Times New Roman" w:hAnsi="Times New Roman" w:cs="Times New Roman"/>
          <w:sz w:val="24"/>
          <w:szCs w:val="24"/>
        </w:rPr>
        <w:t>degli accessi con velocità maggiori di 100 Mbit/s</w:t>
      </w:r>
      <w:r w:rsidR="002B40CE" w:rsidRPr="006528B6">
        <w:rPr>
          <w:rFonts w:ascii="Times New Roman" w:hAnsi="Times New Roman" w:cs="Times New Roman"/>
          <w:sz w:val="24"/>
          <w:szCs w:val="24"/>
        </w:rPr>
        <w:t xml:space="preserve"> </w:t>
      </w:r>
      <w:r w:rsidRPr="006528B6">
        <w:rPr>
          <w:rFonts w:ascii="Times New Roman" w:hAnsi="Times New Roman" w:cs="Times New Roman"/>
          <w:sz w:val="24"/>
          <w:szCs w:val="24"/>
        </w:rPr>
        <w:t>è superiore del 10% rispetto alla media nazionale,</w:t>
      </w:r>
      <w:r w:rsidR="002B40CE" w:rsidRPr="006528B6">
        <w:rPr>
          <w:rFonts w:ascii="Times New Roman" w:hAnsi="Times New Roman" w:cs="Times New Roman"/>
          <w:sz w:val="24"/>
          <w:szCs w:val="24"/>
        </w:rPr>
        <w:t xml:space="preserve"> </w:t>
      </w:r>
      <w:r w:rsidRPr="006528B6">
        <w:rPr>
          <w:rFonts w:ascii="Times New Roman" w:hAnsi="Times New Roman" w:cs="Times New Roman"/>
          <w:sz w:val="24"/>
          <w:szCs w:val="24"/>
        </w:rPr>
        <w:t>a fronte delle aree del Sud e delle Isole</w:t>
      </w:r>
      <w:r w:rsidR="002B40CE" w:rsidRPr="006528B6">
        <w:rPr>
          <w:rFonts w:ascii="Times New Roman" w:hAnsi="Times New Roman" w:cs="Times New Roman"/>
          <w:sz w:val="24"/>
          <w:szCs w:val="24"/>
        </w:rPr>
        <w:t xml:space="preserve"> </w:t>
      </w:r>
      <w:r w:rsidRPr="006528B6">
        <w:rPr>
          <w:rFonts w:ascii="Times New Roman" w:hAnsi="Times New Roman" w:cs="Times New Roman"/>
          <w:sz w:val="24"/>
          <w:szCs w:val="24"/>
        </w:rPr>
        <w:t>che si pongono su valori decisamente inferiori.</w:t>
      </w:r>
    </w:p>
    <w:p w14:paraId="293A24D6" w14:textId="77777777" w:rsidR="004F15B8" w:rsidRPr="006528B6" w:rsidRDefault="00A1507A" w:rsidP="004F15B8">
      <w:pPr>
        <w:autoSpaceDE w:val="0"/>
        <w:autoSpaceDN w:val="0"/>
        <w:adjustRightInd w:val="0"/>
        <w:spacing w:after="0" w:line="240" w:lineRule="auto"/>
        <w:ind w:firstLine="709"/>
        <w:jc w:val="both"/>
        <w:rPr>
          <w:rFonts w:ascii="Times New Roman" w:hAnsi="Times New Roman" w:cs="Times New Roman"/>
          <w:sz w:val="24"/>
          <w:szCs w:val="24"/>
        </w:rPr>
      </w:pPr>
      <w:r w:rsidRPr="006528B6">
        <w:rPr>
          <w:rFonts w:ascii="Times New Roman" w:hAnsi="Times New Roman" w:cs="Times New Roman"/>
          <w:sz w:val="24"/>
          <w:szCs w:val="24"/>
        </w:rPr>
        <w:t>Considerando solo la diffusione delle tecnologie</w:t>
      </w:r>
      <w:r w:rsidR="004F15B8" w:rsidRPr="006528B6">
        <w:rPr>
          <w:rFonts w:ascii="Times New Roman" w:hAnsi="Times New Roman" w:cs="Times New Roman"/>
          <w:sz w:val="24"/>
          <w:szCs w:val="24"/>
        </w:rPr>
        <w:t xml:space="preserve"> </w:t>
      </w:r>
      <w:r w:rsidRPr="006528B6">
        <w:rPr>
          <w:rFonts w:ascii="Times New Roman" w:hAnsi="Times New Roman" w:cs="Times New Roman"/>
          <w:sz w:val="24"/>
          <w:szCs w:val="24"/>
        </w:rPr>
        <w:t>qualitativamente migliori in termini di velocità di</w:t>
      </w:r>
      <w:r w:rsidR="004F15B8" w:rsidRPr="006528B6">
        <w:rPr>
          <w:rFonts w:ascii="Times New Roman" w:hAnsi="Times New Roman" w:cs="Times New Roman"/>
          <w:sz w:val="24"/>
          <w:szCs w:val="24"/>
        </w:rPr>
        <w:t xml:space="preserve"> </w:t>
      </w:r>
      <w:r w:rsidRPr="006528B6">
        <w:rPr>
          <w:rFonts w:ascii="Times New Roman" w:hAnsi="Times New Roman" w:cs="Times New Roman"/>
          <w:sz w:val="24"/>
          <w:szCs w:val="24"/>
        </w:rPr>
        <w:t>connessione (linee VDSL, FTTH e FWA), tale divario</w:t>
      </w:r>
      <w:r w:rsidR="004F15B8" w:rsidRPr="006528B6">
        <w:rPr>
          <w:rFonts w:ascii="Times New Roman" w:hAnsi="Times New Roman" w:cs="Times New Roman"/>
          <w:sz w:val="24"/>
          <w:szCs w:val="24"/>
        </w:rPr>
        <w:t xml:space="preserve"> </w:t>
      </w:r>
      <w:r w:rsidRPr="006528B6">
        <w:rPr>
          <w:rFonts w:ascii="Times New Roman" w:hAnsi="Times New Roman" w:cs="Times New Roman"/>
          <w:sz w:val="24"/>
          <w:szCs w:val="24"/>
        </w:rPr>
        <w:t>si acuisce ulteriormente, come confermato</w:t>
      </w:r>
      <w:r w:rsidR="004F15B8" w:rsidRPr="006528B6">
        <w:rPr>
          <w:rFonts w:ascii="Times New Roman" w:hAnsi="Times New Roman" w:cs="Times New Roman"/>
          <w:sz w:val="24"/>
          <w:szCs w:val="24"/>
        </w:rPr>
        <w:t xml:space="preserve"> </w:t>
      </w:r>
      <w:r w:rsidRPr="006528B6">
        <w:rPr>
          <w:rFonts w:ascii="Times New Roman" w:hAnsi="Times New Roman" w:cs="Times New Roman"/>
          <w:sz w:val="24"/>
          <w:szCs w:val="24"/>
        </w:rPr>
        <w:t>anche dal ranking delle 10 province rispettivamente</w:t>
      </w:r>
      <w:r w:rsidR="004F15B8" w:rsidRPr="006528B6">
        <w:rPr>
          <w:rFonts w:ascii="Times New Roman" w:hAnsi="Times New Roman" w:cs="Times New Roman"/>
          <w:sz w:val="24"/>
          <w:szCs w:val="24"/>
        </w:rPr>
        <w:t xml:space="preserve"> </w:t>
      </w:r>
      <w:r w:rsidRPr="006528B6">
        <w:rPr>
          <w:rFonts w:ascii="Times New Roman" w:hAnsi="Times New Roman" w:cs="Times New Roman"/>
          <w:sz w:val="24"/>
          <w:szCs w:val="24"/>
        </w:rPr>
        <w:t>con maggiore e minore diffusione, tra le</w:t>
      </w:r>
      <w:r w:rsidR="004F15B8" w:rsidRPr="006528B6">
        <w:rPr>
          <w:rFonts w:ascii="Times New Roman" w:hAnsi="Times New Roman" w:cs="Times New Roman"/>
          <w:sz w:val="24"/>
          <w:szCs w:val="24"/>
        </w:rPr>
        <w:t xml:space="preserve"> </w:t>
      </w:r>
      <w:r w:rsidRPr="006528B6">
        <w:rPr>
          <w:rFonts w:ascii="Times New Roman" w:hAnsi="Times New Roman" w:cs="Times New Roman"/>
          <w:sz w:val="24"/>
          <w:szCs w:val="24"/>
        </w:rPr>
        <w:t>famiglie, della banda ultra-larga. Le evidenze illustrate mostrano ancora</w:t>
      </w:r>
      <w:r w:rsidR="004F15B8" w:rsidRPr="006528B6">
        <w:rPr>
          <w:rFonts w:ascii="Times New Roman" w:hAnsi="Times New Roman" w:cs="Times New Roman"/>
          <w:sz w:val="24"/>
          <w:szCs w:val="24"/>
        </w:rPr>
        <w:t xml:space="preserve"> </w:t>
      </w:r>
      <w:r w:rsidRPr="006528B6">
        <w:rPr>
          <w:rFonts w:ascii="Times New Roman" w:hAnsi="Times New Roman" w:cs="Times New Roman"/>
          <w:sz w:val="24"/>
          <w:szCs w:val="24"/>
        </w:rPr>
        <w:t>una volta la necessità di integrare le politiche di</w:t>
      </w:r>
      <w:r w:rsidR="004F15B8" w:rsidRPr="006528B6">
        <w:rPr>
          <w:rFonts w:ascii="Times New Roman" w:hAnsi="Times New Roman" w:cs="Times New Roman"/>
          <w:sz w:val="24"/>
          <w:szCs w:val="24"/>
        </w:rPr>
        <w:t xml:space="preserve"> </w:t>
      </w:r>
      <w:r w:rsidRPr="006528B6">
        <w:rPr>
          <w:rFonts w:ascii="Times New Roman" w:hAnsi="Times New Roman" w:cs="Times New Roman"/>
          <w:sz w:val="24"/>
          <w:szCs w:val="24"/>
        </w:rPr>
        <w:t xml:space="preserve">offerta (cd. </w:t>
      </w:r>
      <w:r w:rsidRPr="006528B6">
        <w:rPr>
          <w:rFonts w:ascii="Times New Roman" w:hAnsi="Times New Roman" w:cs="Times New Roman"/>
          <w:i/>
          <w:iCs/>
          <w:sz w:val="24"/>
          <w:szCs w:val="24"/>
        </w:rPr>
        <w:t>technology-push</w:t>
      </w:r>
      <w:r w:rsidRPr="006528B6">
        <w:rPr>
          <w:rFonts w:ascii="Times New Roman" w:hAnsi="Times New Roman" w:cs="Times New Roman"/>
          <w:sz w:val="24"/>
          <w:szCs w:val="24"/>
        </w:rPr>
        <w:t>) con interventi dal</w:t>
      </w:r>
      <w:r w:rsidR="004F15B8" w:rsidRPr="006528B6">
        <w:rPr>
          <w:rFonts w:ascii="Times New Roman" w:hAnsi="Times New Roman" w:cs="Times New Roman"/>
          <w:sz w:val="24"/>
          <w:szCs w:val="24"/>
        </w:rPr>
        <w:t xml:space="preserve"> </w:t>
      </w:r>
      <w:r w:rsidRPr="006528B6">
        <w:rPr>
          <w:rFonts w:ascii="Times New Roman" w:hAnsi="Times New Roman" w:cs="Times New Roman"/>
          <w:sz w:val="24"/>
          <w:szCs w:val="24"/>
        </w:rPr>
        <w:t xml:space="preserve">lato della domanda (cd. </w:t>
      </w:r>
      <w:r w:rsidRPr="006528B6">
        <w:rPr>
          <w:rFonts w:ascii="Times New Roman" w:hAnsi="Times New Roman" w:cs="Times New Roman"/>
          <w:i/>
          <w:iCs/>
          <w:sz w:val="24"/>
          <w:szCs w:val="24"/>
        </w:rPr>
        <w:t>demand-pull</w:t>
      </w:r>
      <w:r w:rsidRPr="006528B6">
        <w:rPr>
          <w:rFonts w:ascii="Times New Roman" w:hAnsi="Times New Roman" w:cs="Times New Roman"/>
          <w:sz w:val="24"/>
          <w:szCs w:val="24"/>
        </w:rPr>
        <w:t>). Tale considerazione</w:t>
      </w:r>
      <w:r w:rsidR="004F15B8" w:rsidRPr="006528B6">
        <w:rPr>
          <w:rFonts w:ascii="Times New Roman" w:hAnsi="Times New Roman" w:cs="Times New Roman"/>
          <w:sz w:val="24"/>
          <w:szCs w:val="24"/>
        </w:rPr>
        <w:t xml:space="preserve"> </w:t>
      </w:r>
      <w:r w:rsidRPr="006528B6">
        <w:rPr>
          <w:rFonts w:ascii="Times New Roman" w:hAnsi="Times New Roman" w:cs="Times New Roman"/>
          <w:sz w:val="24"/>
          <w:szCs w:val="24"/>
        </w:rPr>
        <w:t>assume un rilievo ancora maggiore</w:t>
      </w:r>
      <w:r w:rsidR="004F15B8" w:rsidRPr="006528B6">
        <w:rPr>
          <w:rFonts w:ascii="Times New Roman" w:hAnsi="Times New Roman" w:cs="Times New Roman"/>
          <w:sz w:val="24"/>
          <w:szCs w:val="24"/>
        </w:rPr>
        <w:t xml:space="preserve"> </w:t>
      </w:r>
      <w:r w:rsidRPr="006528B6">
        <w:rPr>
          <w:rFonts w:ascii="Times New Roman" w:hAnsi="Times New Roman" w:cs="Times New Roman"/>
          <w:sz w:val="24"/>
          <w:szCs w:val="24"/>
        </w:rPr>
        <w:t>in relazione al progressivo esaurimento dell’emergenza</w:t>
      </w:r>
      <w:r w:rsidR="004F15B8" w:rsidRPr="006528B6">
        <w:rPr>
          <w:rFonts w:ascii="Times New Roman" w:hAnsi="Times New Roman" w:cs="Times New Roman"/>
          <w:sz w:val="24"/>
          <w:szCs w:val="24"/>
        </w:rPr>
        <w:t xml:space="preserve"> </w:t>
      </w:r>
      <w:r w:rsidRPr="006528B6">
        <w:rPr>
          <w:rFonts w:ascii="Times New Roman" w:hAnsi="Times New Roman" w:cs="Times New Roman"/>
          <w:sz w:val="24"/>
          <w:szCs w:val="24"/>
        </w:rPr>
        <w:t>sanitaria e alla successiva azione di</w:t>
      </w:r>
      <w:r w:rsidR="004F15B8" w:rsidRPr="006528B6">
        <w:rPr>
          <w:rFonts w:ascii="Times New Roman" w:hAnsi="Times New Roman" w:cs="Times New Roman"/>
          <w:sz w:val="24"/>
          <w:szCs w:val="24"/>
        </w:rPr>
        <w:t xml:space="preserve"> </w:t>
      </w:r>
      <w:r w:rsidRPr="006528B6">
        <w:rPr>
          <w:rFonts w:ascii="Times New Roman" w:hAnsi="Times New Roman" w:cs="Times New Roman"/>
          <w:sz w:val="24"/>
          <w:szCs w:val="24"/>
        </w:rPr>
        <w:t xml:space="preserve">ricostruzione economica. </w:t>
      </w:r>
    </w:p>
    <w:p w14:paraId="51ACBE07" w14:textId="3173F528" w:rsidR="00A1507A" w:rsidRPr="006528B6" w:rsidRDefault="00A1507A" w:rsidP="004F15B8">
      <w:pPr>
        <w:autoSpaceDE w:val="0"/>
        <w:autoSpaceDN w:val="0"/>
        <w:adjustRightInd w:val="0"/>
        <w:spacing w:after="0" w:line="240" w:lineRule="auto"/>
        <w:ind w:firstLine="709"/>
        <w:jc w:val="both"/>
        <w:rPr>
          <w:rFonts w:ascii="Times New Roman" w:hAnsi="Times New Roman" w:cs="Times New Roman"/>
          <w:sz w:val="24"/>
          <w:szCs w:val="24"/>
        </w:rPr>
      </w:pPr>
      <w:r w:rsidRPr="006528B6">
        <w:rPr>
          <w:rFonts w:ascii="Times New Roman" w:hAnsi="Times New Roman" w:cs="Times New Roman"/>
          <w:sz w:val="24"/>
          <w:szCs w:val="24"/>
        </w:rPr>
        <w:t>Gli indirizzi strategici</w:t>
      </w:r>
      <w:r w:rsidR="004F15B8" w:rsidRPr="006528B6">
        <w:rPr>
          <w:rFonts w:ascii="Times New Roman" w:hAnsi="Times New Roman" w:cs="Times New Roman"/>
          <w:sz w:val="24"/>
          <w:szCs w:val="24"/>
        </w:rPr>
        <w:t xml:space="preserve"> </w:t>
      </w:r>
      <w:r w:rsidRPr="006528B6">
        <w:rPr>
          <w:rFonts w:ascii="Times New Roman" w:hAnsi="Times New Roman" w:cs="Times New Roman"/>
          <w:sz w:val="24"/>
          <w:szCs w:val="24"/>
        </w:rPr>
        <w:t>che dovranno essere implementati in tema di assegnazione</w:t>
      </w:r>
      <w:r w:rsidR="004F15B8" w:rsidRPr="006528B6">
        <w:rPr>
          <w:rFonts w:ascii="Times New Roman" w:hAnsi="Times New Roman" w:cs="Times New Roman"/>
          <w:sz w:val="24"/>
          <w:szCs w:val="24"/>
        </w:rPr>
        <w:t xml:space="preserve"> </w:t>
      </w:r>
      <w:r w:rsidRPr="006528B6">
        <w:rPr>
          <w:rFonts w:ascii="Times New Roman" w:hAnsi="Times New Roman" w:cs="Times New Roman"/>
          <w:sz w:val="24"/>
          <w:szCs w:val="24"/>
        </w:rPr>
        <w:t>delle risorse da erogare con il PNRR</w:t>
      </w:r>
      <w:r w:rsidR="004F15B8" w:rsidRPr="006528B6">
        <w:rPr>
          <w:rFonts w:ascii="Times New Roman" w:hAnsi="Times New Roman" w:cs="Times New Roman"/>
          <w:sz w:val="24"/>
          <w:szCs w:val="24"/>
        </w:rPr>
        <w:t xml:space="preserve"> </w:t>
      </w:r>
      <w:r w:rsidRPr="006528B6">
        <w:rPr>
          <w:rFonts w:ascii="Times New Roman" w:hAnsi="Times New Roman" w:cs="Times New Roman"/>
          <w:sz w:val="24"/>
          <w:szCs w:val="24"/>
        </w:rPr>
        <w:t>dovranno garantire il necessario passo in avanti</w:t>
      </w:r>
      <w:r w:rsidR="004F15B8" w:rsidRPr="006528B6">
        <w:rPr>
          <w:rFonts w:ascii="Times New Roman" w:hAnsi="Times New Roman" w:cs="Times New Roman"/>
          <w:sz w:val="24"/>
          <w:szCs w:val="24"/>
        </w:rPr>
        <w:t xml:space="preserve"> </w:t>
      </w:r>
      <w:r w:rsidRPr="006528B6">
        <w:rPr>
          <w:rFonts w:ascii="Times New Roman" w:hAnsi="Times New Roman" w:cs="Times New Roman"/>
          <w:sz w:val="24"/>
          <w:szCs w:val="24"/>
        </w:rPr>
        <w:t>in termini di servizi disponibili a tutte le fasce</w:t>
      </w:r>
      <w:r w:rsidR="004F15B8" w:rsidRPr="006528B6">
        <w:rPr>
          <w:rFonts w:ascii="Times New Roman" w:hAnsi="Times New Roman" w:cs="Times New Roman"/>
          <w:sz w:val="24"/>
          <w:szCs w:val="24"/>
        </w:rPr>
        <w:t xml:space="preserve"> </w:t>
      </w:r>
      <w:r w:rsidRPr="006528B6">
        <w:rPr>
          <w:rFonts w:ascii="Times New Roman" w:hAnsi="Times New Roman" w:cs="Times New Roman"/>
          <w:sz w:val="24"/>
          <w:szCs w:val="24"/>
        </w:rPr>
        <w:t>della popolazione italiana (studenti, lavoratori,</w:t>
      </w:r>
      <w:r w:rsidR="004F15B8" w:rsidRPr="006528B6">
        <w:rPr>
          <w:rFonts w:ascii="Times New Roman" w:hAnsi="Times New Roman" w:cs="Times New Roman"/>
          <w:sz w:val="24"/>
          <w:szCs w:val="24"/>
        </w:rPr>
        <w:t xml:space="preserve"> </w:t>
      </w:r>
      <w:r w:rsidRPr="006528B6">
        <w:rPr>
          <w:rFonts w:ascii="Times New Roman" w:hAnsi="Times New Roman" w:cs="Times New Roman"/>
          <w:sz w:val="24"/>
          <w:szCs w:val="24"/>
        </w:rPr>
        <w:t>anziani).</w:t>
      </w:r>
    </w:p>
    <w:p w14:paraId="37185179" w14:textId="47874799" w:rsidR="00A1507A" w:rsidRPr="006528B6" w:rsidRDefault="00A1507A" w:rsidP="004F15B8">
      <w:pPr>
        <w:autoSpaceDE w:val="0"/>
        <w:autoSpaceDN w:val="0"/>
        <w:adjustRightInd w:val="0"/>
        <w:spacing w:after="0" w:line="240" w:lineRule="auto"/>
        <w:ind w:firstLine="709"/>
        <w:jc w:val="both"/>
        <w:rPr>
          <w:rFonts w:ascii="Times New Roman" w:hAnsi="Times New Roman" w:cs="Times New Roman"/>
          <w:sz w:val="24"/>
          <w:szCs w:val="24"/>
        </w:rPr>
      </w:pPr>
      <w:r w:rsidRPr="006528B6">
        <w:rPr>
          <w:rFonts w:ascii="Times New Roman" w:hAnsi="Times New Roman" w:cs="Times New Roman"/>
          <w:sz w:val="24"/>
          <w:szCs w:val="24"/>
        </w:rPr>
        <w:t>Dal punto di vista geografico, la distribuzione</w:t>
      </w:r>
      <w:r w:rsidR="004F15B8" w:rsidRPr="006528B6">
        <w:rPr>
          <w:rFonts w:ascii="Times New Roman" w:hAnsi="Times New Roman" w:cs="Times New Roman"/>
          <w:sz w:val="24"/>
          <w:szCs w:val="24"/>
        </w:rPr>
        <w:t xml:space="preserve"> </w:t>
      </w:r>
      <w:r w:rsidRPr="006528B6">
        <w:rPr>
          <w:rFonts w:ascii="Times New Roman" w:hAnsi="Times New Roman" w:cs="Times New Roman"/>
          <w:sz w:val="24"/>
          <w:szCs w:val="24"/>
        </w:rPr>
        <w:t>delle linee in fibra (FTTH), su rete mista</w:t>
      </w:r>
      <w:r w:rsidR="004F15B8" w:rsidRPr="006528B6">
        <w:rPr>
          <w:rFonts w:ascii="Times New Roman" w:hAnsi="Times New Roman" w:cs="Times New Roman"/>
          <w:sz w:val="24"/>
          <w:szCs w:val="24"/>
        </w:rPr>
        <w:t xml:space="preserve"> </w:t>
      </w:r>
      <w:r w:rsidRPr="006528B6">
        <w:rPr>
          <w:rFonts w:ascii="Times New Roman" w:hAnsi="Times New Roman" w:cs="Times New Roman"/>
          <w:sz w:val="24"/>
          <w:szCs w:val="24"/>
        </w:rPr>
        <w:t>rame-fibra (FTTC), nonché su rete mista radio</w:t>
      </w:r>
      <w:r w:rsidR="004F15B8" w:rsidRPr="006528B6">
        <w:rPr>
          <w:rFonts w:ascii="Times New Roman" w:hAnsi="Times New Roman" w:cs="Times New Roman"/>
          <w:sz w:val="24"/>
          <w:szCs w:val="24"/>
        </w:rPr>
        <w:t xml:space="preserve"> </w:t>
      </w:r>
      <w:r w:rsidRPr="006528B6">
        <w:rPr>
          <w:rFonts w:ascii="Times New Roman" w:hAnsi="Times New Roman" w:cs="Times New Roman"/>
          <w:sz w:val="24"/>
          <w:szCs w:val="24"/>
        </w:rPr>
        <w:t>(FWA), mostra evidenze di particolare interesse,</w:t>
      </w:r>
      <w:r w:rsidR="004F15B8" w:rsidRPr="006528B6">
        <w:rPr>
          <w:rFonts w:ascii="Times New Roman" w:hAnsi="Times New Roman" w:cs="Times New Roman"/>
          <w:sz w:val="24"/>
          <w:szCs w:val="24"/>
        </w:rPr>
        <w:t xml:space="preserve"> </w:t>
      </w:r>
      <w:r w:rsidRPr="006528B6">
        <w:rPr>
          <w:rFonts w:ascii="Times New Roman" w:hAnsi="Times New Roman" w:cs="Times New Roman"/>
          <w:sz w:val="24"/>
          <w:szCs w:val="24"/>
        </w:rPr>
        <w:t xml:space="preserve">anche in riferimento ai modelli di </w:t>
      </w:r>
      <w:r w:rsidRPr="006528B6">
        <w:rPr>
          <w:rFonts w:ascii="Times New Roman" w:hAnsi="Times New Roman" w:cs="Times New Roman"/>
          <w:i/>
          <w:iCs/>
          <w:sz w:val="24"/>
          <w:szCs w:val="24"/>
        </w:rPr>
        <w:t xml:space="preserve">business </w:t>
      </w:r>
      <w:r w:rsidRPr="006528B6">
        <w:rPr>
          <w:rFonts w:ascii="Times New Roman" w:hAnsi="Times New Roman" w:cs="Times New Roman"/>
          <w:sz w:val="24"/>
          <w:szCs w:val="24"/>
        </w:rPr>
        <w:t>adottati</w:t>
      </w:r>
      <w:r w:rsidR="004F15B8" w:rsidRPr="006528B6">
        <w:rPr>
          <w:rFonts w:ascii="Times New Roman" w:hAnsi="Times New Roman" w:cs="Times New Roman"/>
          <w:sz w:val="24"/>
          <w:szCs w:val="24"/>
        </w:rPr>
        <w:t xml:space="preserve"> </w:t>
      </w:r>
      <w:r w:rsidRPr="006528B6">
        <w:rPr>
          <w:rFonts w:ascii="Times New Roman" w:hAnsi="Times New Roman" w:cs="Times New Roman"/>
          <w:sz w:val="24"/>
          <w:szCs w:val="24"/>
        </w:rPr>
        <w:t>dalle principali imprese presenti sul mercato.</w:t>
      </w:r>
    </w:p>
    <w:p w14:paraId="480AE33A" w14:textId="0FBEFB57" w:rsidR="00D039A3" w:rsidRPr="006528B6" w:rsidRDefault="00A1507A" w:rsidP="00D039A3">
      <w:pPr>
        <w:autoSpaceDE w:val="0"/>
        <w:autoSpaceDN w:val="0"/>
        <w:adjustRightInd w:val="0"/>
        <w:spacing w:after="0" w:line="240" w:lineRule="auto"/>
        <w:ind w:firstLine="709"/>
        <w:jc w:val="both"/>
        <w:rPr>
          <w:rFonts w:ascii="Times New Roman" w:hAnsi="Times New Roman" w:cs="Times New Roman"/>
          <w:sz w:val="24"/>
          <w:szCs w:val="24"/>
        </w:rPr>
      </w:pPr>
      <w:r w:rsidRPr="006528B6">
        <w:rPr>
          <w:rFonts w:ascii="Times New Roman" w:hAnsi="Times New Roman" w:cs="Times New Roman"/>
          <w:sz w:val="24"/>
          <w:szCs w:val="24"/>
        </w:rPr>
        <w:t>In generale, considerando il complessivo</w:t>
      </w:r>
      <w:r w:rsidR="004F15B8" w:rsidRPr="006528B6">
        <w:rPr>
          <w:rFonts w:ascii="Times New Roman" w:hAnsi="Times New Roman" w:cs="Times New Roman"/>
          <w:sz w:val="24"/>
          <w:szCs w:val="24"/>
        </w:rPr>
        <w:t xml:space="preserve"> </w:t>
      </w:r>
      <w:r w:rsidRPr="006528B6">
        <w:rPr>
          <w:rFonts w:ascii="Times New Roman" w:hAnsi="Times New Roman" w:cs="Times New Roman"/>
          <w:sz w:val="24"/>
          <w:szCs w:val="24"/>
        </w:rPr>
        <w:t>aggregato delle tecnologie sopra menzionate</w:t>
      </w:r>
      <w:r w:rsidR="004F15B8" w:rsidRPr="006528B6">
        <w:rPr>
          <w:rFonts w:ascii="Times New Roman" w:hAnsi="Times New Roman" w:cs="Times New Roman"/>
          <w:sz w:val="24"/>
          <w:szCs w:val="24"/>
        </w:rPr>
        <w:t xml:space="preserve"> </w:t>
      </w:r>
      <w:r w:rsidRPr="006528B6">
        <w:rPr>
          <w:rFonts w:ascii="Times New Roman" w:hAnsi="Times New Roman" w:cs="Times New Roman"/>
          <w:sz w:val="24"/>
          <w:szCs w:val="24"/>
        </w:rPr>
        <w:t>e in virtù della crescente diffusione dell’offerta</w:t>
      </w:r>
      <w:r w:rsidR="004F15B8" w:rsidRPr="006528B6">
        <w:rPr>
          <w:rFonts w:ascii="Times New Roman" w:hAnsi="Times New Roman" w:cs="Times New Roman"/>
          <w:sz w:val="24"/>
          <w:szCs w:val="24"/>
        </w:rPr>
        <w:t xml:space="preserve"> </w:t>
      </w:r>
      <w:r w:rsidRPr="006528B6">
        <w:rPr>
          <w:rFonts w:ascii="Times New Roman" w:hAnsi="Times New Roman" w:cs="Times New Roman"/>
          <w:sz w:val="24"/>
          <w:szCs w:val="24"/>
        </w:rPr>
        <w:t>di linee in fibra e la crescita di quelle FWA, è</w:t>
      </w:r>
      <w:r w:rsidR="004F15B8" w:rsidRPr="006528B6">
        <w:rPr>
          <w:rFonts w:ascii="Times New Roman" w:hAnsi="Times New Roman" w:cs="Times New Roman"/>
          <w:sz w:val="24"/>
          <w:szCs w:val="24"/>
        </w:rPr>
        <w:t xml:space="preserve"> </w:t>
      </w:r>
      <w:r w:rsidRPr="006528B6">
        <w:rPr>
          <w:rFonts w:ascii="Times New Roman" w:hAnsi="Times New Roman" w:cs="Times New Roman"/>
          <w:sz w:val="24"/>
          <w:szCs w:val="24"/>
        </w:rPr>
        <w:t>possibile osservare una competizione crescente.</w:t>
      </w:r>
      <w:r w:rsidR="004F15B8" w:rsidRPr="006528B6">
        <w:rPr>
          <w:rFonts w:ascii="Times New Roman" w:hAnsi="Times New Roman" w:cs="Times New Roman"/>
          <w:sz w:val="24"/>
          <w:szCs w:val="24"/>
        </w:rPr>
        <w:t xml:space="preserve"> </w:t>
      </w:r>
      <w:r w:rsidRPr="006528B6">
        <w:rPr>
          <w:rFonts w:ascii="Times New Roman" w:hAnsi="Times New Roman" w:cs="Times New Roman"/>
          <w:sz w:val="24"/>
          <w:szCs w:val="24"/>
        </w:rPr>
        <w:t>A fine 2020, infatti, TIM, a fronte del 42,1%</w:t>
      </w:r>
      <w:r w:rsidR="004F15B8" w:rsidRPr="006528B6">
        <w:rPr>
          <w:rFonts w:ascii="Times New Roman" w:hAnsi="Times New Roman" w:cs="Times New Roman"/>
          <w:sz w:val="24"/>
          <w:szCs w:val="24"/>
        </w:rPr>
        <w:t xml:space="preserve"> </w:t>
      </w:r>
      <w:r w:rsidRPr="006528B6">
        <w:rPr>
          <w:rFonts w:ascii="Times New Roman" w:hAnsi="Times New Roman" w:cs="Times New Roman"/>
          <w:sz w:val="24"/>
          <w:szCs w:val="24"/>
        </w:rPr>
        <w:t>di quota di mercato sul complesso delle linee</w:t>
      </w:r>
      <w:r w:rsidR="004F15B8" w:rsidRPr="006528B6">
        <w:rPr>
          <w:rFonts w:ascii="Times New Roman" w:hAnsi="Times New Roman" w:cs="Times New Roman"/>
          <w:sz w:val="24"/>
          <w:szCs w:val="24"/>
        </w:rPr>
        <w:t xml:space="preserve"> </w:t>
      </w:r>
      <w:r w:rsidRPr="006528B6">
        <w:rPr>
          <w:rFonts w:ascii="Times New Roman" w:hAnsi="Times New Roman" w:cs="Times New Roman"/>
          <w:sz w:val="24"/>
          <w:szCs w:val="24"/>
        </w:rPr>
        <w:t>broadband e del 53,1% in termini di spesa complessiva</w:t>
      </w:r>
      <w:r w:rsidR="004F15B8" w:rsidRPr="006528B6">
        <w:rPr>
          <w:rFonts w:ascii="Times New Roman" w:hAnsi="Times New Roman" w:cs="Times New Roman"/>
          <w:sz w:val="24"/>
          <w:szCs w:val="24"/>
        </w:rPr>
        <w:t xml:space="preserve"> </w:t>
      </w:r>
      <w:r w:rsidRPr="006528B6">
        <w:rPr>
          <w:rFonts w:ascii="Times New Roman" w:hAnsi="Times New Roman" w:cs="Times New Roman"/>
          <w:sz w:val="24"/>
          <w:szCs w:val="24"/>
        </w:rPr>
        <w:t>degli utenti, non supera,</w:t>
      </w:r>
      <w:r w:rsidR="004F15B8" w:rsidRPr="006528B6">
        <w:rPr>
          <w:rFonts w:ascii="Times New Roman" w:hAnsi="Times New Roman" w:cs="Times New Roman"/>
          <w:sz w:val="24"/>
          <w:szCs w:val="24"/>
        </w:rPr>
        <w:t xml:space="preserve"> </w:t>
      </w:r>
      <w:r w:rsidRPr="006528B6">
        <w:rPr>
          <w:rFonts w:ascii="Times New Roman" w:hAnsi="Times New Roman" w:cs="Times New Roman"/>
          <w:sz w:val="24"/>
          <w:szCs w:val="24"/>
        </w:rPr>
        <w:t>in media, il 33% considerando il sottogruppo</w:t>
      </w:r>
      <w:r w:rsidR="004F15B8" w:rsidRPr="006528B6">
        <w:rPr>
          <w:rFonts w:ascii="Times New Roman" w:hAnsi="Times New Roman" w:cs="Times New Roman"/>
          <w:sz w:val="24"/>
          <w:szCs w:val="24"/>
        </w:rPr>
        <w:t xml:space="preserve"> </w:t>
      </w:r>
      <w:r w:rsidRPr="006528B6">
        <w:rPr>
          <w:rFonts w:ascii="Times New Roman" w:hAnsi="Times New Roman" w:cs="Times New Roman"/>
          <w:sz w:val="24"/>
          <w:szCs w:val="24"/>
        </w:rPr>
        <w:t>di linee composte dalle tecnologie VDSL, FWA</w:t>
      </w:r>
      <w:r w:rsidR="004F15B8" w:rsidRPr="006528B6">
        <w:rPr>
          <w:rFonts w:ascii="Times New Roman" w:hAnsi="Times New Roman" w:cs="Times New Roman"/>
          <w:sz w:val="24"/>
          <w:szCs w:val="24"/>
        </w:rPr>
        <w:t xml:space="preserve"> </w:t>
      </w:r>
      <w:r w:rsidRPr="006528B6">
        <w:rPr>
          <w:rFonts w:ascii="Times New Roman" w:hAnsi="Times New Roman" w:cs="Times New Roman"/>
          <w:sz w:val="24"/>
          <w:szCs w:val="24"/>
        </w:rPr>
        <w:t xml:space="preserve">e FTTH, con </w:t>
      </w:r>
      <w:r w:rsidR="00997BF9" w:rsidRPr="006528B6">
        <w:rPr>
          <w:rFonts w:ascii="Times New Roman" w:hAnsi="Times New Roman" w:cs="Times New Roman"/>
          <w:sz w:val="24"/>
          <w:szCs w:val="24"/>
        </w:rPr>
        <w:t>una presenza</w:t>
      </w:r>
      <w:r w:rsidRPr="006528B6">
        <w:rPr>
          <w:rFonts w:ascii="Times New Roman" w:hAnsi="Times New Roman" w:cs="Times New Roman"/>
          <w:sz w:val="24"/>
          <w:szCs w:val="24"/>
        </w:rPr>
        <w:t xml:space="preserve"> che, per pregressi</w:t>
      </w:r>
      <w:r w:rsidR="004F15B8" w:rsidRPr="006528B6">
        <w:rPr>
          <w:rFonts w:ascii="Times New Roman" w:hAnsi="Times New Roman" w:cs="Times New Roman"/>
          <w:sz w:val="24"/>
          <w:szCs w:val="24"/>
        </w:rPr>
        <w:t xml:space="preserve"> </w:t>
      </w:r>
      <w:r w:rsidRPr="006528B6">
        <w:rPr>
          <w:rFonts w:ascii="Times New Roman" w:hAnsi="Times New Roman" w:cs="Times New Roman"/>
          <w:sz w:val="24"/>
          <w:szCs w:val="24"/>
        </w:rPr>
        <w:t>motivi di presenza storica, tende ad aumentare</w:t>
      </w:r>
      <w:r w:rsidR="00D039A3" w:rsidRPr="006528B6">
        <w:rPr>
          <w:rFonts w:ascii="Times New Roman" w:hAnsi="Times New Roman" w:cs="Times New Roman"/>
          <w:sz w:val="24"/>
          <w:szCs w:val="24"/>
        </w:rPr>
        <w:t xml:space="preserve"> </w:t>
      </w:r>
      <w:r w:rsidRPr="006528B6">
        <w:rPr>
          <w:rFonts w:ascii="Times New Roman" w:hAnsi="Times New Roman" w:cs="Times New Roman"/>
          <w:sz w:val="24"/>
          <w:szCs w:val="24"/>
        </w:rPr>
        <w:t>nel Centro e nel Meridione grazie in particolare</w:t>
      </w:r>
      <w:r w:rsidR="00D039A3" w:rsidRPr="006528B6">
        <w:rPr>
          <w:rFonts w:ascii="Times New Roman" w:hAnsi="Times New Roman" w:cs="Times New Roman"/>
          <w:sz w:val="24"/>
          <w:szCs w:val="24"/>
        </w:rPr>
        <w:t xml:space="preserve"> </w:t>
      </w:r>
      <w:r w:rsidRPr="006528B6">
        <w:rPr>
          <w:rFonts w:ascii="Times New Roman" w:hAnsi="Times New Roman" w:cs="Times New Roman"/>
          <w:sz w:val="24"/>
          <w:szCs w:val="24"/>
        </w:rPr>
        <w:t xml:space="preserve">all’offerta di linee VDSL. </w:t>
      </w:r>
    </w:p>
    <w:p w14:paraId="77BE7788" w14:textId="38872B95" w:rsidR="00A1507A" w:rsidRPr="006528B6" w:rsidRDefault="00A1507A" w:rsidP="00D039A3">
      <w:pPr>
        <w:autoSpaceDE w:val="0"/>
        <w:autoSpaceDN w:val="0"/>
        <w:adjustRightInd w:val="0"/>
        <w:spacing w:after="0" w:line="240" w:lineRule="auto"/>
        <w:ind w:firstLine="709"/>
        <w:jc w:val="both"/>
        <w:rPr>
          <w:rFonts w:ascii="Times New Roman" w:hAnsi="Times New Roman" w:cs="Times New Roman"/>
          <w:sz w:val="24"/>
          <w:szCs w:val="24"/>
        </w:rPr>
      </w:pPr>
      <w:r w:rsidRPr="006528B6">
        <w:rPr>
          <w:rFonts w:ascii="Times New Roman" w:hAnsi="Times New Roman" w:cs="Times New Roman"/>
          <w:sz w:val="24"/>
          <w:szCs w:val="24"/>
        </w:rPr>
        <w:lastRenderedPageBreak/>
        <w:t>Vodafone presenta una</w:t>
      </w:r>
      <w:r w:rsidR="00D039A3" w:rsidRPr="006528B6">
        <w:rPr>
          <w:rFonts w:ascii="Times New Roman" w:hAnsi="Times New Roman" w:cs="Times New Roman"/>
          <w:sz w:val="24"/>
          <w:szCs w:val="24"/>
        </w:rPr>
        <w:t xml:space="preserve"> </w:t>
      </w:r>
      <w:r w:rsidRPr="006528B6">
        <w:rPr>
          <w:rFonts w:ascii="Times New Roman" w:hAnsi="Times New Roman" w:cs="Times New Roman"/>
          <w:sz w:val="24"/>
          <w:szCs w:val="24"/>
        </w:rPr>
        <w:t>diffusione maggiormente uniforme sul territorio</w:t>
      </w:r>
      <w:r w:rsidR="00D039A3" w:rsidRPr="006528B6">
        <w:rPr>
          <w:rFonts w:ascii="Times New Roman" w:hAnsi="Times New Roman" w:cs="Times New Roman"/>
          <w:sz w:val="24"/>
          <w:szCs w:val="24"/>
        </w:rPr>
        <w:t xml:space="preserve"> </w:t>
      </w:r>
      <w:r w:rsidRPr="006528B6">
        <w:rPr>
          <w:rFonts w:ascii="Times New Roman" w:hAnsi="Times New Roman" w:cs="Times New Roman"/>
          <w:sz w:val="24"/>
          <w:szCs w:val="24"/>
        </w:rPr>
        <w:t>italiano, ma con quote che tendono a rafforzarsi</w:t>
      </w:r>
      <w:r w:rsidR="00D039A3" w:rsidRPr="006528B6">
        <w:rPr>
          <w:rFonts w:ascii="Times New Roman" w:hAnsi="Times New Roman" w:cs="Times New Roman"/>
          <w:sz w:val="24"/>
          <w:szCs w:val="24"/>
        </w:rPr>
        <w:t xml:space="preserve"> </w:t>
      </w:r>
      <w:r w:rsidRPr="006528B6">
        <w:rPr>
          <w:rFonts w:ascii="Times New Roman" w:hAnsi="Times New Roman" w:cs="Times New Roman"/>
          <w:sz w:val="24"/>
          <w:szCs w:val="24"/>
        </w:rPr>
        <w:t>nel segmento FTTH nel Sud e nelle Isole, mentre</w:t>
      </w:r>
      <w:r w:rsidR="00D039A3" w:rsidRPr="006528B6">
        <w:rPr>
          <w:rFonts w:ascii="Times New Roman" w:hAnsi="Times New Roman" w:cs="Times New Roman"/>
          <w:sz w:val="24"/>
          <w:szCs w:val="24"/>
        </w:rPr>
        <w:t xml:space="preserve"> </w:t>
      </w:r>
      <w:r w:rsidRPr="006528B6">
        <w:rPr>
          <w:rFonts w:ascii="Times New Roman" w:hAnsi="Times New Roman" w:cs="Times New Roman"/>
          <w:sz w:val="24"/>
          <w:szCs w:val="24"/>
        </w:rPr>
        <w:t>da poco è presente anche nell’offerta di servizi</w:t>
      </w:r>
      <w:r w:rsidR="00D039A3" w:rsidRPr="006528B6">
        <w:rPr>
          <w:rFonts w:ascii="Times New Roman" w:hAnsi="Times New Roman" w:cs="Times New Roman"/>
          <w:sz w:val="24"/>
          <w:szCs w:val="24"/>
        </w:rPr>
        <w:t xml:space="preserve"> </w:t>
      </w:r>
      <w:r w:rsidRPr="006528B6">
        <w:rPr>
          <w:rFonts w:ascii="Times New Roman" w:hAnsi="Times New Roman" w:cs="Times New Roman"/>
          <w:sz w:val="24"/>
          <w:szCs w:val="24"/>
        </w:rPr>
        <w:t>FWA. Fastweb si conferma quale maggiore</w:t>
      </w:r>
      <w:r w:rsidR="00D039A3" w:rsidRPr="006528B6">
        <w:rPr>
          <w:rFonts w:ascii="Times New Roman" w:hAnsi="Times New Roman" w:cs="Times New Roman"/>
          <w:sz w:val="24"/>
          <w:szCs w:val="24"/>
        </w:rPr>
        <w:t xml:space="preserve"> </w:t>
      </w:r>
      <w:r w:rsidRPr="006528B6">
        <w:rPr>
          <w:rFonts w:ascii="Times New Roman" w:hAnsi="Times New Roman" w:cs="Times New Roman"/>
          <w:sz w:val="24"/>
          <w:szCs w:val="24"/>
        </w:rPr>
        <w:t>operatore FTTH (30,1% a livello nazionale), con</w:t>
      </w:r>
      <w:r w:rsidR="00D039A3" w:rsidRPr="006528B6">
        <w:rPr>
          <w:rFonts w:ascii="Times New Roman" w:hAnsi="Times New Roman" w:cs="Times New Roman"/>
          <w:sz w:val="24"/>
          <w:szCs w:val="24"/>
        </w:rPr>
        <w:t xml:space="preserve"> </w:t>
      </w:r>
      <w:r w:rsidRPr="006528B6">
        <w:rPr>
          <w:rFonts w:ascii="Times New Roman" w:hAnsi="Times New Roman" w:cs="Times New Roman"/>
          <w:sz w:val="24"/>
          <w:szCs w:val="24"/>
        </w:rPr>
        <w:t>quote che superano il 40% nell’area lombarda.</w:t>
      </w:r>
      <w:r w:rsidR="00D039A3" w:rsidRPr="006528B6">
        <w:rPr>
          <w:rFonts w:ascii="Times New Roman" w:hAnsi="Times New Roman" w:cs="Times New Roman"/>
          <w:sz w:val="24"/>
          <w:szCs w:val="24"/>
        </w:rPr>
        <w:t xml:space="preserve"> </w:t>
      </w:r>
      <w:r w:rsidRPr="006528B6">
        <w:rPr>
          <w:rFonts w:ascii="Times New Roman" w:hAnsi="Times New Roman" w:cs="Times New Roman"/>
          <w:sz w:val="24"/>
          <w:szCs w:val="24"/>
        </w:rPr>
        <w:t>Linkem ed Eolo risultano i principali operatori</w:t>
      </w:r>
      <w:r w:rsidR="00D039A3" w:rsidRPr="006528B6">
        <w:rPr>
          <w:rFonts w:ascii="Times New Roman" w:hAnsi="Times New Roman" w:cs="Times New Roman"/>
          <w:sz w:val="24"/>
          <w:szCs w:val="24"/>
        </w:rPr>
        <w:t xml:space="preserve"> </w:t>
      </w:r>
      <w:r w:rsidRPr="006528B6">
        <w:rPr>
          <w:rFonts w:ascii="Times New Roman" w:hAnsi="Times New Roman" w:cs="Times New Roman"/>
          <w:sz w:val="24"/>
          <w:szCs w:val="24"/>
        </w:rPr>
        <w:t>nel segmento FWA. Il primo con una presenza</w:t>
      </w:r>
      <w:r w:rsidR="00D039A3" w:rsidRPr="006528B6">
        <w:rPr>
          <w:rFonts w:ascii="Times New Roman" w:hAnsi="Times New Roman" w:cs="Times New Roman"/>
          <w:sz w:val="24"/>
          <w:szCs w:val="24"/>
        </w:rPr>
        <w:t xml:space="preserve"> </w:t>
      </w:r>
      <w:r w:rsidRPr="006528B6">
        <w:rPr>
          <w:rFonts w:ascii="Times New Roman" w:hAnsi="Times New Roman" w:cs="Times New Roman"/>
          <w:sz w:val="24"/>
          <w:szCs w:val="24"/>
        </w:rPr>
        <w:t>rilevante nel Sud e nelle Isole; il secondo nell’Italia</w:t>
      </w:r>
      <w:r w:rsidR="00D039A3" w:rsidRPr="006528B6">
        <w:rPr>
          <w:rFonts w:ascii="Times New Roman" w:hAnsi="Times New Roman" w:cs="Times New Roman"/>
          <w:sz w:val="24"/>
          <w:szCs w:val="24"/>
        </w:rPr>
        <w:t xml:space="preserve"> </w:t>
      </w:r>
      <w:r w:rsidRPr="006528B6">
        <w:rPr>
          <w:rFonts w:ascii="Times New Roman" w:hAnsi="Times New Roman" w:cs="Times New Roman"/>
          <w:sz w:val="24"/>
          <w:szCs w:val="24"/>
        </w:rPr>
        <w:t>settentrionale. Tuttavia, il recente ingresso</w:t>
      </w:r>
      <w:r w:rsidR="00D039A3" w:rsidRPr="006528B6">
        <w:rPr>
          <w:rFonts w:ascii="Times New Roman" w:hAnsi="Times New Roman" w:cs="Times New Roman"/>
          <w:sz w:val="24"/>
          <w:szCs w:val="24"/>
        </w:rPr>
        <w:t xml:space="preserve"> </w:t>
      </w:r>
      <w:r w:rsidRPr="006528B6">
        <w:rPr>
          <w:rFonts w:ascii="Times New Roman" w:hAnsi="Times New Roman" w:cs="Times New Roman"/>
          <w:sz w:val="24"/>
          <w:szCs w:val="24"/>
        </w:rPr>
        <w:t>di altri grandi player (TIM e Vodafone lo scorso</w:t>
      </w:r>
      <w:r w:rsidR="00D039A3" w:rsidRPr="006528B6">
        <w:rPr>
          <w:rFonts w:ascii="Times New Roman" w:hAnsi="Times New Roman" w:cs="Times New Roman"/>
          <w:sz w:val="24"/>
          <w:szCs w:val="24"/>
        </w:rPr>
        <w:t xml:space="preserve"> </w:t>
      </w:r>
      <w:r w:rsidRPr="006528B6">
        <w:rPr>
          <w:rFonts w:ascii="Times New Roman" w:hAnsi="Times New Roman" w:cs="Times New Roman"/>
          <w:sz w:val="24"/>
          <w:szCs w:val="24"/>
        </w:rPr>
        <w:t>dicembre rappresentavano il 7,3%) porterà con</w:t>
      </w:r>
      <w:r w:rsidR="00D039A3" w:rsidRPr="006528B6">
        <w:rPr>
          <w:rFonts w:ascii="Times New Roman" w:hAnsi="Times New Roman" w:cs="Times New Roman"/>
          <w:sz w:val="24"/>
          <w:szCs w:val="24"/>
        </w:rPr>
        <w:t xml:space="preserve"> </w:t>
      </w:r>
      <w:r w:rsidRPr="006528B6">
        <w:rPr>
          <w:rFonts w:ascii="Times New Roman" w:hAnsi="Times New Roman" w:cs="Times New Roman"/>
          <w:sz w:val="24"/>
          <w:szCs w:val="24"/>
        </w:rPr>
        <w:t>ogni probabilità a un graduale riassetto degli scenari</w:t>
      </w:r>
      <w:r w:rsidR="00D039A3" w:rsidRPr="006528B6">
        <w:rPr>
          <w:rFonts w:ascii="Times New Roman" w:hAnsi="Times New Roman" w:cs="Times New Roman"/>
          <w:sz w:val="24"/>
          <w:szCs w:val="24"/>
        </w:rPr>
        <w:t xml:space="preserve"> </w:t>
      </w:r>
      <w:r w:rsidRPr="006528B6">
        <w:rPr>
          <w:rFonts w:ascii="Times New Roman" w:hAnsi="Times New Roman" w:cs="Times New Roman"/>
          <w:sz w:val="24"/>
          <w:szCs w:val="24"/>
        </w:rPr>
        <w:t>competitivi in questo segmento di mercato.</w:t>
      </w:r>
    </w:p>
    <w:p w14:paraId="1EE456D3" w14:textId="264EE55D" w:rsidR="00A1507A" w:rsidRPr="006528B6" w:rsidRDefault="00A1507A" w:rsidP="00D039A3">
      <w:pPr>
        <w:autoSpaceDE w:val="0"/>
        <w:autoSpaceDN w:val="0"/>
        <w:adjustRightInd w:val="0"/>
        <w:spacing w:after="0" w:line="240" w:lineRule="auto"/>
        <w:ind w:firstLine="709"/>
        <w:jc w:val="both"/>
        <w:rPr>
          <w:rFonts w:ascii="Times New Roman" w:hAnsi="Times New Roman" w:cs="Times New Roman"/>
          <w:sz w:val="24"/>
          <w:szCs w:val="24"/>
        </w:rPr>
      </w:pPr>
      <w:r w:rsidRPr="006528B6">
        <w:rPr>
          <w:rFonts w:ascii="Times New Roman" w:hAnsi="Times New Roman" w:cs="Times New Roman"/>
          <w:sz w:val="24"/>
          <w:szCs w:val="24"/>
        </w:rPr>
        <w:t xml:space="preserve">In termini di valore, i servizi </w:t>
      </w:r>
      <w:r w:rsidRPr="006528B6">
        <w:rPr>
          <w:rFonts w:ascii="Times New Roman" w:hAnsi="Times New Roman" w:cs="Times New Roman"/>
          <w:i/>
          <w:iCs/>
          <w:sz w:val="24"/>
          <w:szCs w:val="24"/>
        </w:rPr>
        <w:t>broadband</w:t>
      </w:r>
      <w:r w:rsidR="00D039A3" w:rsidRPr="006528B6">
        <w:rPr>
          <w:rFonts w:ascii="Times New Roman" w:hAnsi="Times New Roman" w:cs="Times New Roman"/>
          <w:i/>
          <w:iCs/>
          <w:sz w:val="24"/>
          <w:szCs w:val="24"/>
        </w:rPr>
        <w:t xml:space="preserve"> </w:t>
      </w:r>
      <w:r w:rsidRPr="006528B6">
        <w:rPr>
          <w:rFonts w:ascii="Times New Roman" w:hAnsi="Times New Roman" w:cs="Times New Roman"/>
          <w:sz w:val="24"/>
          <w:szCs w:val="24"/>
        </w:rPr>
        <w:t xml:space="preserve">e </w:t>
      </w:r>
      <w:r w:rsidRPr="006528B6">
        <w:rPr>
          <w:rFonts w:ascii="Times New Roman" w:hAnsi="Times New Roman" w:cs="Times New Roman"/>
          <w:i/>
          <w:iCs/>
          <w:sz w:val="24"/>
          <w:szCs w:val="24"/>
        </w:rPr>
        <w:t xml:space="preserve">ultrabroadband </w:t>
      </w:r>
      <w:r w:rsidRPr="006528B6">
        <w:rPr>
          <w:rFonts w:ascii="Times New Roman" w:hAnsi="Times New Roman" w:cs="Times New Roman"/>
          <w:sz w:val="24"/>
          <w:szCs w:val="24"/>
        </w:rPr>
        <w:t>hanno superato, nel 2020, i</w:t>
      </w:r>
      <w:r w:rsidR="00D039A3" w:rsidRPr="006528B6">
        <w:rPr>
          <w:rFonts w:ascii="Times New Roman" w:hAnsi="Times New Roman" w:cs="Times New Roman"/>
          <w:sz w:val="24"/>
          <w:szCs w:val="24"/>
        </w:rPr>
        <w:t xml:space="preserve"> </w:t>
      </w:r>
      <w:r w:rsidRPr="006528B6">
        <w:rPr>
          <w:rFonts w:ascii="Times New Roman" w:hAnsi="Times New Roman" w:cs="Times New Roman"/>
          <w:sz w:val="24"/>
          <w:szCs w:val="24"/>
        </w:rPr>
        <w:t>6,1 miliardi di euro, con una distribuzione delle</w:t>
      </w:r>
      <w:r w:rsidR="00D039A3" w:rsidRPr="006528B6">
        <w:rPr>
          <w:rFonts w:ascii="Times New Roman" w:hAnsi="Times New Roman" w:cs="Times New Roman"/>
          <w:sz w:val="24"/>
          <w:szCs w:val="24"/>
        </w:rPr>
        <w:t xml:space="preserve"> </w:t>
      </w:r>
      <w:r w:rsidRPr="006528B6">
        <w:rPr>
          <w:rFonts w:ascii="Times New Roman" w:hAnsi="Times New Roman" w:cs="Times New Roman"/>
          <w:sz w:val="24"/>
          <w:szCs w:val="24"/>
        </w:rPr>
        <w:t>quote che vede TIM primo operatore, con il</w:t>
      </w:r>
      <w:r w:rsidR="00D039A3" w:rsidRPr="006528B6">
        <w:rPr>
          <w:rFonts w:ascii="Times New Roman" w:hAnsi="Times New Roman" w:cs="Times New Roman"/>
          <w:sz w:val="24"/>
          <w:szCs w:val="24"/>
        </w:rPr>
        <w:t xml:space="preserve"> </w:t>
      </w:r>
      <w:r w:rsidRPr="006528B6">
        <w:rPr>
          <w:rFonts w:ascii="Times New Roman" w:hAnsi="Times New Roman" w:cs="Times New Roman"/>
          <w:sz w:val="24"/>
          <w:szCs w:val="24"/>
        </w:rPr>
        <w:t>34,5%, valore di poco superiore a quello in termini</w:t>
      </w:r>
      <w:r w:rsidR="00D039A3" w:rsidRPr="006528B6">
        <w:rPr>
          <w:rFonts w:ascii="Times New Roman" w:hAnsi="Times New Roman" w:cs="Times New Roman"/>
          <w:sz w:val="24"/>
          <w:szCs w:val="24"/>
        </w:rPr>
        <w:t xml:space="preserve"> </w:t>
      </w:r>
      <w:r w:rsidRPr="006528B6">
        <w:rPr>
          <w:rFonts w:ascii="Times New Roman" w:hAnsi="Times New Roman" w:cs="Times New Roman"/>
          <w:sz w:val="24"/>
          <w:szCs w:val="24"/>
        </w:rPr>
        <w:t>di volume (ossia linee attive).</w:t>
      </w:r>
    </w:p>
    <w:p w14:paraId="53485E03" w14:textId="7C53A5FD" w:rsidR="00D94841" w:rsidRPr="006528B6" w:rsidRDefault="00A1507A" w:rsidP="00D039A3">
      <w:pPr>
        <w:autoSpaceDE w:val="0"/>
        <w:autoSpaceDN w:val="0"/>
        <w:adjustRightInd w:val="0"/>
        <w:spacing w:after="0" w:line="240" w:lineRule="auto"/>
        <w:ind w:firstLine="709"/>
        <w:jc w:val="both"/>
        <w:rPr>
          <w:rFonts w:ascii="Times New Roman" w:eastAsia="Calibri" w:hAnsi="Times New Roman" w:cs="Times New Roman"/>
          <w:i/>
          <w:sz w:val="24"/>
          <w:szCs w:val="24"/>
        </w:rPr>
      </w:pPr>
      <w:r w:rsidRPr="006528B6">
        <w:rPr>
          <w:rFonts w:ascii="Times New Roman" w:hAnsi="Times New Roman" w:cs="Times New Roman"/>
          <w:sz w:val="24"/>
          <w:szCs w:val="24"/>
        </w:rPr>
        <w:t>Nel complesso, con riferimento ai ricavi</w:t>
      </w:r>
      <w:r w:rsidR="00D039A3" w:rsidRPr="006528B6">
        <w:rPr>
          <w:rFonts w:ascii="Times New Roman" w:hAnsi="Times New Roman" w:cs="Times New Roman"/>
          <w:sz w:val="24"/>
          <w:szCs w:val="24"/>
        </w:rPr>
        <w:t xml:space="preserve"> </w:t>
      </w:r>
      <w:r w:rsidRPr="006528B6">
        <w:rPr>
          <w:rFonts w:ascii="Times New Roman" w:hAnsi="Times New Roman" w:cs="Times New Roman"/>
          <w:sz w:val="24"/>
          <w:szCs w:val="24"/>
        </w:rPr>
        <w:t>generati dalla spesa complessiva di famiglie</w:t>
      </w:r>
      <w:r w:rsidR="00D039A3" w:rsidRPr="006528B6">
        <w:rPr>
          <w:rFonts w:ascii="Times New Roman" w:hAnsi="Times New Roman" w:cs="Times New Roman"/>
          <w:sz w:val="24"/>
          <w:szCs w:val="24"/>
        </w:rPr>
        <w:t xml:space="preserve"> </w:t>
      </w:r>
      <w:r w:rsidRPr="006528B6">
        <w:rPr>
          <w:rFonts w:ascii="Times New Roman" w:hAnsi="Times New Roman" w:cs="Times New Roman"/>
          <w:sz w:val="24"/>
          <w:szCs w:val="24"/>
        </w:rPr>
        <w:t>e imprese per servizi da rete fissa,</w:t>
      </w:r>
      <w:r w:rsidR="00D039A3" w:rsidRPr="006528B6">
        <w:rPr>
          <w:rFonts w:ascii="Times New Roman" w:hAnsi="Times New Roman" w:cs="Times New Roman"/>
          <w:sz w:val="24"/>
          <w:szCs w:val="24"/>
        </w:rPr>
        <w:t xml:space="preserve"> </w:t>
      </w:r>
      <w:r w:rsidRPr="006528B6">
        <w:rPr>
          <w:rFonts w:ascii="Times New Roman" w:hAnsi="Times New Roman" w:cs="Times New Roman"/>
          <w:sz w:val="24"/>
          <w:szCs w:val="24"/>
        </w:rPr>
        <w:t>l’operatore TIM, anche se in decisa flessione, detiene</w:t>
      </w:r>
      <w:r w:rsidR="00D039A3" w:rsidRPr="006528B6">
        <w:rPr>
          <w:rFonts w:ascii="Times New Roman" w:hAnsi="Times New Roman" w:cs="Times New Roman"/>
          <w:sz w:val="24"/>
          <w:szCs w:val="24"/>
        </w:rPr>
        <w:t xml:space="preserve"> </w:t>
      </w:r>
      <w:r w:rsidRPr="006528B6">
        <w:rPr>
          <w:rFonts w:ascii="Times New Roman" w:hAnsi="Times New Roman" w:cs="Times New Roman"/>
          <w:sz w:val="24"/>
          <w:szCs w:val="24"/>
        </w:rPr>
        <w:t>ancora una quota superiore al 50%. Cresce</w:t>
      </w:r>
      <w:r w:rsidR="00D039A3" w:rsidRPr="006528B6">
        <w:rPr>
          <w:rFonts w:ascii="Times New Roman" w:hAnsi="Times New Roman" w:cs="Times New Roman"/>
          <w:sz w:val="24"/>
          <w:szCs w:val="24"/>
        </w:rPr>
        <w:t xml:space="preserve"> </w:t>
      </w:r>
      <w:r w:rsidRPr="006528B6">
        <w:rPr>
          <w:rFonts w:ascii="Times New Roman" w:hAnsi="Times New Roman" w:cs="Times New Roman"/>
          <w:sz w:val="24"/>
          <w:szCs w:val="24"/>
        </w:rPr>
        <w:t>di 1,4 punti percentuali Fastweb che rafforza la</w:t>
      </w:r>
      <w:r w:rsidR="00D039A3" w:rsidRPr="006528B6">
        <w:rPr>
          <w:rFonts w:ascii="Times New Roman" w:hAnsi="Times New Roman" w:cs="Times New Roman"/>
          <w:sz w:val="24"/>
          <w:szCs w:val="24"/>
        </w:rPr>
        <w:t xml:space="preserve"> </w:t>
      </w:r>
      <w:r w:rsidRPr="006528B6">
        <w:rPr>
          <w:rFonts w:ascii="Times New Roman" w:hAnsi="Times New Roman" w:cs="Times New Roman"/>
          <w:sz w:val="24"/>
          <w:szCs w:val="24"/>
        </w:rPr>
        <w:t>propria posizione di secondo operatore di rete</w:t>
      </w:r>
      <w:r w:rsidR="00D039A3" w:rsidRPr="006528B6">
        <w:rPr>
          <w:rFonts w:ascii="Times New Roman" w:hAnsi="Times New Roman" w:cs="Times New Roman"/>
          <w:sz w:val="24"/>
          <w:szCs w:val="24"/>
        </w:rPr>
        <w:t xml:space="preserve"> </w:t>
      </w:r>
      <w:r w:rsidRPr="006528B6">
        <w:rPr>
          <w:rFonts w:ascii="Times New Roman" w:hAnsi="Times New Roman" w:cs="Times New Roman"/>
          <w:sz w:val="24"/>
          <w:szCs w:val="24"/>
        </w:rPr>
        <w:t>fissa. Considerando i rapporti competitivi per</w:t>
      </w:r>
      <w:r w:rsidR="00D039A3" w:rsidRPr="006528B6">
        <w:rPr>
          <w:rFonts w:ascii="Times New Roman" w:hAnsi="Times New Roman" w:cs="Times New Roman"/>
          <w:sz w:val="24"/>
          <w:szCs w:val="24"/>
        </w:rPr>
        <w:t xml:space="preserve"> </w:t>
      </w:r>
      <w:r w:rsidRPr="006528B6">
        <w:rPr>
          <w:rFonts w:ascii="Times New Roman" w:hAnsi="Times New Roman" w:cs="Times New Roman"/>
          <w:sz w:val="24"/>
          <w:szCs w:val="24"/>
        </w:rPr>
        <w:t>tipologia di utenza, si conferma anche nel 2020</w:t>
      </w:r>
      <w:r w:rsidR="00D039A3" w:rsidRPr="006528B6">
        <w:rPr>
          <w:rFonts w:ascii="Times New Roman" w:hAnsi="Times New Roman" w:cs="Times New Roman"/>
          <w:sz w:val="24"/>
          <w:szCs w:val="24"/>
        </w:rPr>
        <w:t xml:space="preserve"> </w:t>
      </w:r>
      <w:r w:rsidRPr="006528B6">
        <w:rPr>
          <w:rFonts w:ascii="Times New Roman" w:hAnsi="Times New Roman" w:cs="Times New Roman"/>
          <w:sz w:val="24"/>
          <w:szCs w:val="24"/>
        </w:rPr>
        <w:t>una maggiore concentrazione nel segmento residenziale</w:t>
      </w:r>
      <w:r w:rsidR="00D039A3" w:rsidRPr="006528B6">
        <w:rPr>
          <w:rFonts w:ascii="Times New Roman" w:hAnsi="Times New Roman" w:cs="Times New Roman"/>
          <w:sz w:val="24"/>
          <w:szCs w:val="24"/>
        </w:rPr>
        <w:t xml:space="preserve"> </w:t>
      </w:r>
      <w:r w:rsidRPr="006528B6">
        <w:rPr>
          <w:rFonts w:ascii="Times New Roman" w:hAnsi="Times New Roman" w:cs="Times New Roman"/>
          <w:sz w:val="24"/>
          <w:szCs w:val="24"/>
        </w:rPr>
        <w:t>rispetto a quello affari, con i primi</w:t>
      </w:r>
      <w:r w:rsidR="00D039A3" w:rsidRPr="006528B6">
        <w:rPr>
          <w:rFonts w:ascii="Times New Roman" w:hAnsi="Times New Roman" w:cs="Times New Roman"/>
          <w:sz w:val="24"/>
          <w:szCs w:val="24"/>
        </w:rPr>
        <w:t xml:space="preserve"> </w:t>
      </w:r>
      <w:r w:rsidRPr="006528B6">
        <w:rPr>
          <w:rFonts w:ascii="Times New Roman" w:hAnsi="Times New Roman" w:cs="Times New Roman"/>
          <w:sz w:val="24"/>
          <w:szCs w:val="24"/>
        </w:rPr>
        <w:t>4 operatori che rappresentano circa il 92% del</w:t>
      </w:r>
      <w:r w:rsidR="00D039A3" w:rsidRPr="006528B6">
        <w:rPr>
          <w:rFonts w:ascii="Times New Roman" w:hAnsi="Times New Roman" w:cs="Times New Roman"/>
          <w:sz w:val="24"/>
          <w:szCs w:val="24"/>
        </w:rPr>
        <w:t xml:space="preserve"> </w:t>
      </w:r>
      <w:r w:rsidRPr="006528B6">
        <w:rPr>
          <w:rFonts w:ascii="Times New Roman" w:hAnsi="Times New Roman" w:cs="Times New Roman"/>
          <w:sz w:val="24"/>
          <w:szCs w:val="24"/>
        </w:rPr>
        <w:t>mercato. Nel segmento affari, dove sono maggiormente</w:t>
      </w:r>
      <w:r w:rsidR="00D039A3" w:rsidRPr="006528B6">
        <w:rPr>
          <w:rFonts w:ascii="Times New Roman" w:hAnsi="Times New Roman" w:cs="Times New Roman"/>
          <w:sz w:val="24"/>
          <w:szCs w:val="24"/>
        </w:rPr>
        <w:t xml:space="preserve"> </w:t>
      </w:r>
      <w:r w:rsidRPr="006528B6">
        <w:rPr>
          <w:rFonts w:ascii="Times New Roman" w:hAnsi="Times New Roman" w:cs="Times New Roman"/>
          <w:sz w:val="24"/>
          <w:szCs w:val="24"/>
        </w:rPr>
        <w:t>presenti operatori di medie dimensioni,</w:t>
      </w:r>
      <w:r w:rsidR="00D039A3" w:rsidRPr="006528B6">
        <w:rPr>
          <w:rFonts w:ascii="Times New Roman" w:hAnsi="Times New Roman" w:cs="Times New Roman"/>
          <w:sz w:val="24"/>
          <w:szCs w:val="24"/>
        </w:rPr>
        <w:t xml:space="preserve"> </w:t>
      </w:r>
      <w:r w:rsidRPr="006528B6">
        <w:rPr>
          <w:rFonts w:ascii="Times New Roman" w:hAnsi="Times New Roman" w:cs="Times New Roman"/>
          <w:sz w:val="24"/>
          <w:szCs w:val="24"/>
        </w:rPr>
        <w:t>va evidenziata la crescita di Fastweb (+2,4</w:t>
      </w:r>
      <w:r w:rsidR="00D039A3" w:rsidRPr="006528B6">
        <w:rPr>
          <w:rFonts w:ascii="Times New Roman" w:hAnsi="Times New Roman" w:cs="Times New Roman"/>
          <w:sz w:val="24"/>
          <w:szCs w:val="24"/>
        </w:rPr>
        <w:t xml:space="preserve"> </w:t>
      </w:r>
      <w:r w:rsidRPr="006528B6">
        <w:rPr>
          <w:rFonts w:ascii="Times New Roman" w:hAnsi="Times New Roman" w:cs="Times New Roman"/>
          <w:sz w:val="24"/>
          <w:szCs w:val="24"/>
        </w:rPr>
        <w:t>punti percentuali) che arriva a sfiorare il 22%.</w:t>
      </w:r>
    </w:p>
    <w:p w14:paraId="6B86947E" w14:textId="2F73FF09" w:rsidR="002679F5" w:rsidRPr="006528B6" w:rsidRDefault="002679F5" w:rsidP="00C82CD1">
      <w:pPr>
        <w:autoSpaceDE w:val="0"/>
        <w:autoSpaceDN w:val="0"/>
        <w:adjustRightInd w:val="0"/>
        <w:spacing w:after="0" w:line="240" w:lineRule="auto"/>
        <w:ind w:firstLine="708"/>
        <w:jc w:val="both"/>
        <w:rPr>
          <w:rFonts w:ascii="Times New Roman" w:hAnsi="Times New Roman" w:cs="Times New Roman"/>
          <w:sz w:val="24"/>
          <w:szCs w:val="24"/>
        </w:rPr>
      </w:pPr>
    </w:p>
    <w:p w14:paraId="61B6667B" w14:textId="77777777" w:rsidR="00C95676" w:rsidRPr="006528B6" w:rsidRDefault="00C95676" w:rsidP="00C95676">
      <w:pPr>
        <w:spacing w:after="0" w:line="240" w:lineRule="auto"/>
        <w:ind w:firstLine="709"/>
        <w:jc w:val="both"/>
        <w:rPr>
          <w:rFonts w:ascii="Times New Roman" w:eastAsia="Calibri" w:hAnsi="Times New Roman" w:cs="Times New Roman"/>
          <w:sz w:val="24"/>
          <w:szCs w:val="24"/>
        </w:rPr>
      </w:pPr>
    </w:p>
    <w:p w14:paraId="24FB9B30" w14:textId="02A9A151" w:rsidR="000002F7" w:rsidRPr="006528B6" w:rsidRDefault="000002F7" w:rsidP="00213BAD">
      <w:pPr>
        <w:spacing w:after="0" w:line="240" w:lineRule="auto"/>
        <w:ind w:firstLine="709"/>
        <w:jc w:val="both"/>
        <w:rPr>
          <w:rFonts w:ascii="Times New Roman" w:eastAsia="Calibri" w:hAnsi="Times New Roman" w:cs="Times New Roman"/>
          <w:i/>
          <w:sz w:val="24"/>
          <w:szCs w:val="24"/>
        </w:rPr>
      </w:pPr>
      <w:r w:rsidRPr="006528B6">
        <w:rPr>
          <w:rFonts w:ascii="Times New Roman" w:eastAsia="Calibri" w:hAnsi="Times New Roman" w:cs="Times New Roman"/>
          <w:i/>
          <w:sz w:val="24"/>
          <w:szCs w:val="24"/>
        </w:rPr>
        <w:t>I mercati di rete mobile</w:t>
      </w:r>
    </w:p>
    <w:p w14:paraId="409E5D58" w14:textId="77777777" w:rsidR="007B5752" w:rsidRPr="006528B6" w:rsidRDefault="007B5752" w:rsidP="00213BAD">
      <w:pPr>
        <w:spacing w:after="0" w:line="240" w:lineRule="auto"/>
        <w:ind w:firstLine="709"/>
        <w:jc w:val="both"/>
        <w:rPr>
          <w:rFonts w:ascii="Times New Roman" w:eastAsia="Calibri" w:hAnsi="Times New Roman" w:cs="Times New Roman"/>
          <w:i/>
          <w:sz w:val="24"/>
          <w:szCs w:val="24"/>
        </w:rPr>
      </w:pPr>
    </w:p>
    <w:p w14:paraId="637D4C30" w14:textId="57BCEDFB" w:rsidR="00CA434B" w:rsidRPr="006528B6" w:rsidRDefault="007B5752" w:rsidP="00213BAD">
      <w:pPr>
        <w:spacing w:after="0" w:line="240" w:lineRule="auto"/>
        <w:ind w:firstLine="709"/>
        <w:jc w:val="both"/>
        <w:rPr>
          <w:rFonts w:ascii="Times New Roman" w:hAnsi="Times New Roman" w:cs="Times New Roman"/>
          <w:sz w:val="24"/>
          <w:szCs w:val="24"/>
        </w:rPr>
      </w:pPr>
      <w:r w:rsidRPr="006528B6">
        <w:rPr>
          <w:rFonts w:ascii="Times New Roman" w:hAnsi="Times New Roman" w:cs="Times New Roman"/>
          <w:sz w:val="24"/>
          <w:szCs w:val="24"/>
        </w:rPr>
        <w:t>Le risorse complessive generate dai servizi di rete mobile hanno visto nel 2020 una contrazione media dell’8,2% e si sono attestate a 10,86 miliardi di euro, con risultati tuttavia notevolmente differenti a seconda delle componenti considerate. Il fatturato da servizi voce mostra una riduzione assai contenuta (-1%), mentre quello relativo a servizi dati evidenzia una maggiore flessione (-11,7%). Fortemente penalizzate, inoltre, sono risultate le vendite, da parte degli operatori, di terminali e di altri device (-23%). Malgrado questo andamento, che appare legato principalmente a dinamiche competitive, i volumi hanno registrato consistenti incrementi a causa soprattutto delle limitazioni alla mobilità determinate dalla pandemia nel 2020.</w:t>
      </w:r>
    </w:p>
    <w:p w14:paraId="6D2341C8" w14:textId="77777777" w:rsidR="00086609" w:rsidRPr="006528B6" w:rsidRDefault="007B5752" w:rsidP="00213BAD">
      <w:pPr>
        <w:spacing w:after="0" w:line="240" w:lineRule="auto"/>
        <w:ind w:firstLine="709"/>
        <w:jc w:val="both"/>
        <w:rPr>
          <w:rFonts w:ascii="Times New Roman" w:hAnsi="Times New Roman" w:cs="Times New Roman"/>
          <w:sz w:val="24"/>
          <w:szCs w:val="24"/>
        </w:rPr>
      </w:pPr>
      <w:r w:rsidRPr="006528B6">
        <w:rPr>
          <w:rFonts w:ascii="Times New Roman" w:hAnsi="Times New Roman" w:cs="Times New Roman"/>
          <w:sz w:val="24"/>
          <w:szCs w:val="24"/>
        </w:rPr>
        <w:t xml:space="preserve">Più nel dettaglio, i consumi di servizi vocali, anche per l’incremento del traffico registrato da Iliad a seguito del forte aumento </w:t>
      </w:r>
      <w:r w:rsidR="00086609" w:rsidRPr="006528B6">
        <w:rPr>
          <w:rFonts w:ascii="Times New Roman" w:hAnsi="Times New Roman" w:cs="Times New Roman"/>
          <w:sz w:val="24"/>
          <w:szCs w:val="24"/>
        </w:rPr>
        <w:t>del proprio customer base</w:t>
      </w:r>
      <w:r w:rsidRPr="006528B6">
        <w:rPr>
          <w:rFonts w:ascii="Times New Roman" w:hAnsi="Times New Roman" w:cs="Times New Roman"/>
          <w:sz w:val="24"/>
          <w:szCs w:val="24"/>
        </w:rPr>
        <w:t>, hanno superato ampiamente i 200 miliardi di minuti di conversazione a fine 2020, con una crescita del 17,4% su base annua. I consumi di servizi dati, nonostante una sensibile attenuazione dell’aumento delle SIM degli</w:t>
      </w:r>
      <w:r w:rsidR="007A1EEC" w:rsidRPr="006528B6">
        <w:rPr>
          <w:rFonts w:ascii="Times New Roman" w:hAnsi="Times New Roman" w:cs="Times New Roman"/>
          <w:sz w:val="24"/>
          <w:szCs w:val="24"/>
        </w:rPr>
        <w:t xml:space="preserve"> utenti che effettuano traffico dati, sono cresciuti in misura consistente: il 50% su base annua.</w:t>
      </w:r>
      <w:r w:rsidR="00086609" w:rsidRPr="006528B6">
        <w:rPr>
          <w:rFonts w:ascii="Times New Roman" w:hAnsi="Times New Roman" w:cs="Times New Roman"/>
          <w:sz w:val="24"/>
          <w:szCs w:val="24"/>
        </w:rPr>
        <w:t xml:space="preserve"> </w:t>
      </w:r>
      <w:r w:rsidR="007A1EEC" w:rsidRPr="006528B6">
        <w:rPr>
          <w:rFonts w:ascii="Times New Roman" w:hAnsi="Times New Roman" w:cs="Times New Roman"/>
          <w:sz w:val="24"/>
          <w:szCs w:val="24"/>
        </w:rPr>
        <w:t xml:space="preserve">Ciò ha consentito di raggiungere un traffico unitario mensile di circa 10 GB per SIM. </w:t>
      </w:r>
    </w:p>
    <w:p w14:paraId="39A36D44" w14:textId="64716457" w:rsidR="00BC3461" w:rsidRPr="006528B6" w:rsidRDefault="007A1EEC" w:rsidP="00213BAD">
      <w:pPr>
        <w:spacing w:after="0" w:line="240" w:lineRule="auto"/>
        <w:ind w:firstLine="709"/>
        <w:jc w:val="both"/>
        <w:rPr>
          <w:rFonts w:ascii="Times New Roman" w:hAnsi="Times New Roman" w:cs="Times New Roman"/>
          <w:sz w:val="24"/>
          <w:szCs w:val="24"/>
        </w:rPr>
      </w:pPr>
      <w:r w:rsidRPr="006528B6">
        <w:rPr>
          <w:rFonts w:ascii="Times New Roman" w:hAnsi="Times New Roman" w:cs="Times New Roman"/>
          <w:sz w:val="24"/>
          <w:szCs w:val="24"/>
        </w:rPr>
        <w:t xml:space="preserve">L’utilizzo degli SMS, viceversa, risulta sempre più marginale, confermando il processo di progressiva affermazione delle forme di comunicazioni veicolate da piattaforme online. Di rilievo è anche la crescita delle SIM di tipo M2M (machine-to-machine) che, a fine 2020, hanno superato i 26 milioni di unità, con applicazioni concentrate principalmente nei settori della mobilità e delle utilities. </w:t>
      </w:r>
    </w:p>
    <w:p w14:paraId="190265F7" w14:textId="77777777" w:rsidR="00BC3461" w:rsidRPr="006528B6" w:rsidRDefault="007A1EEC" w:rsidP="00213BAD">
      <w:pPr>
        <w:spacing w:after="0" w:line="240" w:lineRule="auto"/>
        <w:ind w:firstLine="709"/>
        <w:jc w:val="both"/>
        <w:rPr>
          <w:rFonts w:ascii="Times New Roman" w:hAnsi="Times New Roman" w:cs="Times New Roman"/>
          <w:sz w:val="24"/>
          <w:szCs w:val="24"/>
        </w:rPr>
      </w:pPr>
      <w:r w:rsidRPr="006528B6">
        <w:rPr>
          <w:rFonts w:ascii="Times New Roman" w:hAnsi="Times New Roman" w:cs="Times New Roman"/>
          <w:sz w:val="24"/>
          <w:szCs w:val="24"/>
        </w:rPr>
        <w:t>Un tema di interesse per comprendere le dinamiche del settore delle comunicazioni mobili riguarda l’andamento dei ricavi medi unitari (cd. ARPU, Average Revenue Per User)</w:t>
      </w:r>
      <w:r w:rsidR="00BC3461" w:rsidRPr="006528B6">
        <w:rPr>
          <w:rFonts w:ascii="Times New Roman" w:hAnsi="Times New Roman" w:cs="Times New Roman"/>
          <w:sz w:val="24"/>
          <w:szCs w:val="24"/>
        </w:rPr>
        <w:t xml:space="preserve">. </w:t>
      </w:r>
    </w:p>
    <w:p w14:paraId="21BD1952" w14:textId="77777777" w:rsidR="004056C6" w:rsidRPr="006528B6" w:rsidRDefault="007A1EEC" w:rsidP="00213BAD">
      <w:pPr>
        <w:spacing w:after="0" w:line="240" w:lineRule="auto"/>
        <w:ind w:firstLine="709"/>
        <w:jc w:val="both"/>
        <w:rPr>
          <w:rFonts w:ascii="Times New Roman" w:hAnsi="Times New Roman" w:cs="Times New Roman"/>
          <w:sz w:val="24"/>
          <w:szCs w:val="24"/>
        </w:rPr>
      </w:pPr>
      <w:r w:rsidRPr="006528B6">
        <w:rPr>
          <w:rFonts w:ascii="Times New Roman" w:hAnsi="Times New Roman" w:cs="Times New Roman"/>
          <w:sz w:val="24"/>
          <w:szCs w:val="24"/>
        </w:rPr>
        <w:t xml:space="preserve">Nel 2020, non sembra essersi attenuata la pressione concorrenziale seguita all’ingresso sul mercato, a metà del 2018, di Iliad. </w:t>
      </w:r>
    </w:p>
    <w:p w14:paraId="6E01AEAF" w14:textId="77777777" w:rsidR="004056C6" w:rsidRPr="006528B6" w:rsidRDefault="007A1EEC" w:rsidP="00213BAD">
      <w:pPr>
        <w:spacing w:after="0" w:line="240" w:lineRule="auto"/>
        <w:ind w:firstLine="709"/>
        <w:jc w:val="both"/>
        <w:rPr>
          <w:rFonts w:ascii="Times New Roman" w:hAnsi="Times New Roman" w:cs="Times New Roman"/>
          <w:sz w:val="24"/>
          <w:szCs w:val="24"/>
        </w:rPr>
      </w:pPr>
      <w:r w:rsidRPr="006528B6">
        <w:rPr>
          <w:rFonts w:ascii="Times New Roman" w:hAnsi="Times New Roman" w:cs="Times New Roman"/>
          <w:sz w:val="24"/>
          <w:szCs w:val="24"/>
        </w:rPr>
        <w:t xml:space="preserve">La maggiore domanda nel consumo di dati, soprattutto nella prima metà dell’anno, dovuta alla forte crescita dell’utilizzo di applicativi collegabili alla didattica a distanza, al lavoro a distanza e streaming di contenuti video, è stata infatti ampiamente controbilanciata dalla competizione sui prezzi che caratterizza il contesto di mercato e, pertanto, nel corso dell’anno si è registrata una flessione dei ricavi unitari (con particolare riferimento a quelli da servizi dati). </w:t>
      </w:r>
    </w:p>
    <w:p w14:paraId="23B0C442" w14:textId="6E813601" w:rsidR="007B5752" w:rsidRPr="006528B6" w:rsidRDefault="007A1EEC" w:rsidP="00213BAD">
      <w:pPr>
        <w:spacing w:after="0" w:line="240" w:lineRule="auto"/>
        <w:ind w:firstLine="709"/>
        <w:jc w:val="both"/>
        <w:rPr>
          <w:rFonts w:ascii="Times New Roman" w:hAnsi="Times New Roman" w:cs="Times New Roman"/>
          <w:sz w:val="24"/>
          <w:szCs w:val="24"/>
        </w:rPr>
      </w:pPr>
      <w:r w:rsidRPr="006528B6">
        <w:rPr>
          <w:rFonts w:ascii="Times New Roman" w:hAnsi="Times New Roman" w:cs="Times New Roman"/>
          <w:sz w:val="24"/>
          <w:szCs w:val="24"/>
        </w:rPr>
        <w:lastRenderedPageBreak/>
        <w:t>L’altra faccia della medaglia di questo andamento è data dall’evoluzione degli introiti unitari per tipologia di servizi. A fronte di un aumento dei volumi relativi al traffico dati, si registra una flessione dei ricavi per GB stimabile nel 40% (da 96 centesimi per GB a 57).</w:t>
      </w:r>
    </w:p>
    <w:p w14:paraId="6575A799" w14:textId="77777777" w:rsidR="00BC3461" w:rsidRPr="006528B6" w:rsidRDefault="007A1EEC" w:rsidP="00213BAD">
      <w:pPr>
        <w:spacing w:after="0" w:line="240" w:lineRule="auto"/>
        <w:ind w:firstLine="709"/>
        <w:jc w:val="both"/>
        <w:rPr>
          <w:rFonts w:ascii="Times New Roman" w:hAnsi="Times New Roman" w:cs="Times New Roman"/>
          <w:sz w:val="24"/>
          <w:szCs w:val="24"/>
        </w:rPr>
      </w:pPr>
      <w:r w:rsidRPr="006528B6">
        <w:rPr>
          <w:rFonts w:ascii="Times New Roman" w:hAnsi="Times New Roman" w:cs="Times New Roman"/>
          <w:sz w:val="24"/>
          <w:szCs w:val="24"/>
        </w:rPr>
        <w:t>Passando al quadro concorrenziale, il mercato della telefonia mobile si conferma un ambito altamente concentrato in cui tre operatori (TIM, Vodafone e Wind Tre), con quote tra loro relativamente simili (intorno al 30%), rappresentano poco meno del 90% del mercato</w:t>
      </w:r>
      <w:r w:rsidR="00BC3461" w:rsidRPr="006528B6">
        <w:rPr>
          <w:rFonts w:ascii="Times New Roman" w:hAnsi="Times New Roman" w:cs="Times New Roman"/>
          <w:sz w:val="24"/>
          <w:szCs w:val="24"/>
        </w:rPr>
        <w:t>.</w:t>
      </w:r>
    </w:p>
    <w:p w14:paraId="60644BED" w14:textId="6DAB9423" w:rsidR="007A1EEC" w:rsidRPr="006528B6" w:rsidRDefault="007A1EEC" w:rsidP="00213BAD">
      <w:pPr>
        <w:spacing w:after="0" w:line="240" w:lineRule="auto"/>
        <w:ind w:firstLine="709"/>
        <w:jc w:val="both"/>
        <w:rPr>
          <w:rFonts w:ascii="Times New Roman" w:hAnsi="Times New Roman" w:cs="Times New Roman"/>
          <w:sz w:val="24"/>
          <w:szCs w:val="24"/>
        </w:rPr>
      </w:pPr>
      <w:r w:rsidRPr="006528B6">
        <w:rPr>
          <w:rFonts w:ascii="Times New Roman" w:hAnsi="Times New Roman" w:cs="Times New Roman"/>
          <w:sz w:val="24"/>
          <w:szCs w:val="24"/>
        </w:rPr>
        <w:t>Va tuttavia osservato come nel 2020 TIM e Vodafone abbiano perso nel complesso 3,8 punti percentuali a favore di Iliad e degli MVNO che ne hanno guadagnati 3,5 (4,6 se si considera il solo segmento residenziale).</w:t>
      </w:r>
    </w:p>
    <w:p w14:paraId="56FF13A7" w14:textId="77777777" w:rsidR="004056C6" w:rsidRPr="006528B6" w:rsidRDefault="007A1EEC" w:rsidP="00213BAD">
      <w:pPr>
        <w:spacing w:after="0" w:line="240" w:lineRule="auto"/>
        <w:ind w:firstLine="709"/>
        <w:jc w:val="both"/>
        <w:rPr>
          <w:rFonts w:ascii="Times New Roman" w:hAnsi="Times New Roman" w:cs="Times New Roman"/>
          <w:sz w:val="24"/>
          <w:szCs w:val="24"/>
        </w:rPr>
      </w:pPr>
      <w:r w:rsidRPr="006528B6">
        <w:rPr>
          <w:rFonts w:ascii="Times New Roman" w:hAnsi="Times New Roman" w:cs="Times New Roman"/>
          <w:sz w:val="24"/>
          <w:szCs w:val="24"/>
        </w:rPr>
        <w:t xml:space="preserve">Tali dati evidenziano come il mercato, nella crisi economica dovuta alla pandemia, abbia rivolto particolare attenzione alle offerte low cost, segmento nel complesso maggiormente presidiato dai medi e piccoli operatori. Difatti, con riferimento agli operatori mobili virtuali (MVNO) si è registrato in generale un consistente aumento del fatturato (+19,4%) con un giro di affari arrivato a superare i 700 milioni di euro. Tale risultato è stato raggiunto grazie alla crescita di operatori come CoopVoce (+43%), Fastweb (+21,8%) e Poste Mobile (+15%), che rimane leader del segmento. </w:t>
      </w:r>
    </w:p>
    <w:p w14:paraId="47A6F448" w14:textId="12A1C94F" w:rsidR="007A1EEC" w:rsidRPr="009508E1" w:rsidRDefault="007A1EEC" w:rsidP="00213BAD">
      <w:pPr>
        <w:spacing w:after="0" w:line="240" w:lineRule="auto"/>
        <w:ind w:firstLine="709"/>
        <w:jc w:val="both"/>
        <w:rPr>
          <w:rFonts w:ascii="Times New Roman" w:eastAsia="Calibri" w:hAnsi="Times New Roman" w:cs="Times New Roman"/>
          <w:i/>
          <w:sz w:val="24"/>
          <w:szCs w:val="24"/>
        </w:rPr>
      </w:pPr>
      <w:r w:rsidRPr="006528B6">
        <w:rPr>
          <w:rFonts w:ascii="Times New Roman" w:hAnsi="Times New Roman" w:cs="Times New Roman"/>
          <w:sz w:val="24"/>
          <w:szCs w:val="24"/>
        </w:rPr>
        <w:t>Con riguardo alle quote di mercato nei due segmenti voce e dati, Vodafone, pur mantenendo il proprio primato nel segmento voce (38,8%), perde 1,7 punti percentuali, mentre nei servizi dati Iliad ne guadagna 3,7, arrivando a sfiorare il 9%.</w:t>
      </w:r>
    </w:p>
    <w:sectPr w:rsidR="007A1EEC" w:rsidRPr="009508E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Optima-Regular">
    <w:altName w:val="Calibri"/>
    <w:panose1 w:val="00000000000000000000"/>
    <w:charset w:val="00"/>
    <w:family w:val="auto"/>
    <w:notTrueType/>
    <w:pitch w:val="default"/>
    <w:sig w:usb0="00000003" w:usb1="00000000" w:usb2="00000000" w:usb3="00000000" w:csb0="00000001" w:csb1="00000000"/>
  </w:font>
  <w:font w:name="Garamond-Light">
    <w:altName w:val="Garamon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B0CD5"/>
    <w:multiLevelType w:val="hybridMultilevel"/>
    <w:tmpl w:val="BB8097D6"/>
    <w:lvl w:ilvl="0" w:tplc="7DE2D520">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B4B681E"/>
    <w:multiLevelType w:val="hybridMultilevel"/>
    <w:tmpl w:val="5EE6302E"/>
    <w:lvl w:ilvl="0" w:tplc="CB76E204">
      <w:start w:val="1"/>
      <w:numFmt w:val="bullet"/>
      <w:lvlText w:val=""/>
      <w:lvlJc w:val="left"/>
      <w:pPr>
        <w:ind w:left="1428" w:hanging="360"/>
      </w:pPr>
      <w:rPr>
        <w:rFonts w:ascii="Symbol" w:hAnsi="Symbol" w:hint="default"/>
        <w:sz w:val="24"/>
        <w:szCs w:val="24"/>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 w15:restartNumberingAfterBreak="0">
    <w:nsid w:val="2E716250"/>
    <w:multiLevelType w:val="hybridMultilevel"/>
    <w:tmpl w:val="BAF4A74C"/>
    <w:lvl w:ilvl="0" w:tplc="A4C211D8">
      <w:start w:val="1"/>
      <w:numFmt w:val="bullet"/>
      <w:lvlText w:val=""/>
      <w:lvlJc w:val="left"/>
      <w:pPr>
        <w:ind w:left="1069" w:hanging="360"/>
      </w:pPr>
      <w:rPr>
        <w:rFonts w:ascii="Symbol" w:hAnsi="Symbol" w:hint="default"/>
        <w:color w:val="auto"/>
        <w:sz w:val="24"/>
        <w:szCs w:val="24"/>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 w15:restartNumberingAfterBreak="0">
    <w:nsid w:val="2F9A515A"/>
    <w:multiLevelType w:val="hybridMultilevel"/>
    <w:tmpl w:val="0E6E0470"/>
    <w:lvl w:ilvl="0" w:tplc="736207D6">
      <w:numFmt w:val="bullet"/>
      <w:lvlText w:val="-"/>
      <w:lvlJc w:val="left"/>
      <w:pPr>
        <w:ind w:left="1068" w:hanging="360"/>
      </w:pPr>
      <w:rPr>
        <w:rFonts w:ascii="Times New Roman" w:eastAsiaTheme="minorHAnsi" w:hAnsi="Times New Roman"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 w15:restartNumberingAfterBreak="0">
    <w:nsid w:val="48815291"/>
    <w:multiLevelType w:val="hybridMultilevel"/>
    <w:tmpl w:val="9806BB7E"/>
    <w:lvl w:ilvl="0" w:tplc="C450E58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55F7245"/>
    <w:multiLevelType w:val="hybridMultilevel"/>
    <w:tmpl w:val="27625C2A"/>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num w:numId="1">
    <w:abstractNumId w:val="2"/>
  </w:num>
  <w:num w:numId="2">
    <w:abstractNumId w:val="1"/>
  </w:num>
  <w:num w:numId="3">
    <w:abstractNumId w:val="3"/>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09"/>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02F7"/>
    <w:rsid w:val="000002F7"/>
    <w:rsid w:val="0005528D"/>
    <w:rsid w:val="00056E65"/>
    <w:rsid w:val="00065D56"/>
    <w:rsid w:val="00067538"/>
    <w:rsid w:val="00073294"/>
    <w:rsid w:val="00086609"/>
    <w:rsid w:val="00090160"/>
    <w:rsid w:val="00094C7E"/>
    <w:rsid w:val="000B2927"/>
    <w:rsid w:val="000B3A2E"/>
    <w:rsid w:val="000B7D03"/>
    <w:rsid w:val="000C2C09"/>
    <w:rsid w:val="000C3F79"/>
    <w:rsid w:val="000E0B6B"/>
    <w:rsid w:val="000E2C8E"/>
    <w:rsid w:val="000F0088"/>
    <w:rsid w:val="000F07C5"/>
    <w:rsid w:val="000F510D"/>
    <w:rsid w:val="000F72C1"/>
    <w:rsid w:val="00105D74"/>
    <w:rsid w:val="0012039F"/>
    <w:rsid w:val="00124B19"/>
    <w:rsid w:val="001348DE"/>
    <w:rsid w:val="00135636"/>
    <w:rsid w:val="001378AB"/>
    <w:rsid w:val="00153CBE"/>
    <w:rsid w:val="00154F6B"/>
    <w:rsid w:val="00156C82"/>
    <w:rsid w:val="00164C1F"/>
    <w:rsid w:val="001660CD"/>
    <w:rsid w:val="001702EE"/>
    <w:rsid w:val="00174C75"/>
    <w:rsid w:val="001A0343"/>
    <w:rsid w:val="001B48C8"/>
    <w:rsid w:val="001D5114"/>
    <w:rsid w:val="00213BAD"/>
    <w:rsid w:val="00216AA1"/>
    <w:rsid w:val="002679F5"/>
    <w:rsid w:val="00284C12"/>
    <w:rsid w:val="00286178"/>
    <w:rsid w:val="00294037"/>
    <w:rsid w:val="00295776"/>
    <w:rsid w:val="002B2D69"/>
    <w:rsid w:val="002B40CE"/>
    <w:rsid w:val="002D40D7"/>
    <w:rsid w:val="002E166A"/>
    <w:rsid w:val="002E4CFB"/>
    <w:rsid w:val="002E7CAA"/>
    <w:rsid w:val="002F6FA5"/>
    <w:rsid w:val="002F7F25"/>
    <w:rsid w:val="0030031B"/>
    <w:rsid w:val="00325B3A"/>
    <w:rsid w:val="003260C4"/>
    <w:rsid w:val="00336A69"/>
    <w:rsid w:val="003570B7"/>
    <w:rsid w:val="00363B3A"/>
    <w:rsid w:val="00367B19"/>
    <w:rsid w:val="00385609"/>
    <w:rsid w:val="003871EA"/>
    <w:rsid w:val="00395375"/>
    <w:rsid w:val="003A5CC1"/>
    <w:rsid w:val="003B7293"/>
    <w:rsid w:val="003C2860"/>
    <w:rsid w:val="003D08E0"/>
    <w:rsid w:val="003D5608"/>
    <w:rsid w:val="003F3EB0"/>
    <w:rsid w:val="004056C6"/>
    <w:rsid w:val="00422BA5"/>
    <w:rsid w:val="00430044"/>
    <w:rsid w:val="004304CA"/>
    <w:rsid w:val="00435FC3"/>
    <w:rsid w:val="00444EFD"/>
    <w:rsid w:val="00451239"/>
    <w:rsid w:val="004514D8"/>
    <w:rsid w:val="0045441E"/>
    <w:rsid w:val="00460CE4"/>
    <w:rsid w:val="00462DB4"/>
    <w:rsid w:val="00464043"/>
    <w:rsid w:val="00486EA1"/>
    <w:rsid w:val="00486F72"/>
    <w:rsid w:val="004A15B4"/>
    <w:rsid w:val="004A2459"/>
    <w:rsid w:val="004B1496"/>
    <w:rsid w:val="004B6DCA"/>
    <w:rsid w:val="004D2EA1"/>
    <w:rsid w:val="004D5061"/>
    <w:rsid w:val="004E67B0"/>
    <w:rsid w:val="004E69C3"/>
    <w:rsid w:val="004F11FF"/>
    <w:rsid w:val="004F15B8"/>
    <w:rsid w:val="00501796"/>
    <w:rsid w:val="00514A52"/>
    <w:rsid w:val="0051688C"/>
    <w:rsid w:val="005250A9"/>
    <w:rsid w:val="0052652D"/>
    <w:rsid w:val="00527F2E"/>
    <w:rsid w:val="00535FF6"/>
    <w:rsid w:val="00553FEE"/>
    <w:rsid w:val="00554D87"/>
    <w:rsid w:val="00562BC6"/>
    <w:rsid w:val="00563458"/>
    <w:rsid w:val="00564052"/>
    <w:rsid w:val="00584D00"/>
    <w:rsid w:val="005A61BD"/>
    <w:rsid w:val="005A7BAD"/>
    <w:rsid w:val="005B0132"/>
    <w:rsid w:val="005C1C31"/>
    <w:rsid w:val="005C235F"/>
    <w:rsid w:val="005F4AB2"/>
    <w:rsid w:val="006025BB"/>
    <w:rsid w:val="006035DE"/>
    <w:rsid w:val="00614F23"/>
    <w:rsid w:val="00621192"/>
    <w:rsid w:val="00622B82"/>
    <w:rsid w:val="0063094E"/>
    <w:rsid w:val="00631218"/>
    <w:rsid w:val="00642007"/>
    <w:rsid w:val="0064509C"/>
    <w:rsid w:val="006528B6"/>
    <w:rsid w:val="00692F05"/>
    <w:rsid w:val="006959D6"/>
    <w:rsid w:val="006B521C"/>
    <w:rsid w:val="006C7722"/>
    <w:rsid w:val="006D3859"/>
    <w:rsid w:val="006D3C8D"/>
    <w:rsid w:val="006D4A4A"/>
    <w:rsid w:val="007008C8"/>
    <w:rsid w:val="007008FC"/>
    <w:rsid w:val="007253E3"/>
    <w:rsid w:val="007414AE"/>
    <w:rsid w:val="00764971"/>
    <w:rsid w:val="00773E83"/>
    <w:rsid w:val="00790E52"/>
    <w:rsid w:val="00797BB2"/>
    <w:rsid w:val="00797EF5"/>
    <w:rsid w:val="007A14F9"/>
    <w:rsid w:val="007A15B9"/>
    <w:rsid w:val="007A1EEC"/>
    <w:rsid w:val="007A7063"/>
    <w:rsid w:val="007A730E"/>
    <w:rsid w:val="007A7F74"/>
    <w:rsid w:val="007B070E"/>
    <w:rsid w:val="007B5752"/>
    <w:rsid w:val="007C07D1"/>
    <w:rsid w:val="007D4E50"/>
    <w:rsid w:val="007E07F2"/>
    <w:rsid w:val="007F5A2F"/>
    <w:rsid w:val="00812DFA"/>
    <w:rsid w:val="0082088F"/>
    <w:rsid w:val="00860AA0"/>
    <w:rsid w:val="00877A98"/>
    <w:rsid w:val="0088716E"/>
    <w:rsid w:val="00897B0A"/>
    <w:rsid w:val="008A0C19"/>
    <w:rsid w:val="008B335A"/>
    <w:rsid w:val="008D2DCB"/>
    <w:rsid w:val="008D51EF"/>
    <w:rsid w:val="008D5359"/>
    <w:rsid w:val="008D5C15"/>
    <w:rsid w:val="008E58EA"/>
    <w:rsid w:val="008F07B7"/>
    <w:rsid w:val="009006FB"/>
    <w:rsid w:val="00934278"/>
    <w:rsid w:val="0093658A"/>
    <w:rsid w:val="00944D83"/>
    <w:rsid w:val="009508E1"/>
    <w:rsid w:val="00951E13"/>
    <w:rsid w:val="00986311"/>
    <w:rsid w:val="00997BF9"/>
    <w:rsid w:val="00997DE2"/>
    <w:rsid w:val="009A1F88"/>
    <w:rsid w:val="009B2601"/>
    <w:rsid w:val="009B4267"/>
    <w:rsid w:val="009B4ED5"/>
    <w:rsid w:val="009C730F"/>
    <w:rsid w:val="00A0288C"/>
    <w:rsid w:val="00A11DC2"/>
    <w:rsid w:val="00A1507A"/>
    <w:rsid w:val="00A768FB"/>
    <w:rsid w:val="00A91ABB"/>
    <w:rsid w:val="00A94762"/>
    <w:rsid w:val="00AB4A79"/>
    <w:rsid w:val="00AB60B2"/>
    <w:rsid w:val="00AC07FD"/>
    <w:rsid w:val="00AD40B2"/>
    <w:rsid w:val="00AE01E8"/>
    <w:rsid w:val="00AF2245"/>
    <w:rsid w:val="00B03420"/>
    <w:rsid w:val="00B10CE0"/>
    <w:rsid w:val="00B30AA1"/>
    <w:rsid w:val="00B421EE"/>
    <w:rsid w:val="00B476C3"/>
    <w:rsid w:val="00B667F0"/>
    <w:rsid w:val="00B70381"/>
    <w:rsid w:val="00B71924"/>
    <w:rsid w:val="00B84F27"/>
    <w:rsid w:val="00BA6E45"/>
    <w:rsid w:val="00BC3461"/>
    <w:rsid w:val="00BD1517"/>
    <w:rsid w:val="00BD479B"/>
    <w:rsid w:val="00BD504F"/>
    <w:rsid w:val="00BE15E1"/>
    <w:rsid w:val="00BE2A5F"/>
    <w:rsid w:val="00C042EF"/>
    <w:rsid w:val="00C0691F"/>
    <w:rsid w:val="00C15015"/>
    <w:rsid w:val="00C36801"/>
    <w:rsid w:val="00C44E09"/>
    <w:rsid w:val="00C44E83"/>
    <w:rsid w:val="00C50B31"/>
    <w:rsid w:val="00C57FBA"/>
    <w:rsid w:val="00C82CD1"/>
    <w:rsid w:val="00C9031E"/>
    <w:rsid w:val="00C95676"/>
    <w:rsid w:val="00CA434B"/>
    <w:rsid w:val="00CA581C"/>
    <w:rsid w:val="00CD5757"/>
    <w:rsid w:val="00CD5B44"/>
    <w:rsid w:val="00D039A3"/>
    <w:rsid w:val="00D26CC6"/>
    <w:rsid w:val="00D61951"/>
    <w:rsid w:val="00D61EEA"/>
    <w:rsid w:val="00D661FC"/>
    <w:rsid w:val="00D82C76"/>
    <w:rsid w:val="00D84192"/>
    <w:rsid w:val="00D85779"/>
    <w:rsid w:val="00D94841"/>
    <w:rsid w:val="00D977C6"/>
    <w:rsid w:val="00DA49C9"/>
    <w:rsid w:val="00DB02DF"/>
    <w:rsid w:val="00DB13AB"/>
    <w:rsid w:val="00DB2C22"/>
    <w:rsid w:val="00DC0841"/>
    <w:rsid w:val="00E0413E"/>
    <w:rsid w:val="00E12B38"/>
    <w:rsid w:val="00E16350"/>
    <w:rsid w:val="00E41AFF"/>
    <w:rsid w:val="00E512F6"/>
    <w:rsid w:val="00E55EE3"/>
    <w:rsid w:val="00E85C06"/>
    <w:rsid w:val="00E92EF9"/>
    <w:rsid w:val="00E9398D"/>
    <w:rsid w:val="00E96CC2"/>
    <w:rsid w:val="00EB73F8"/>
    <w:rsid w:val="00ED7E54"/>
    <w:rsid w:val="00EF6703"/>
    <w:rsid w:val="00EF7E1A"/>
    <w:rsid w:val="00F02D5C"/>
    <w:rsid w:val="00F037F3"/>
    <w:rsid w:val="00F14DD9"/>
    <w:rsid w:val="00F317D8"/>
    <w:rsid w:val="00F35F44"/>
    <w:rsid w:val="00F5795C"/>
    <w:rsid w:val="00F67AF6"/>
    <w:rsid w:val="00F713D0"/>
    <w:rsid w:val="00F76EC1"/>
    <w:rsid w:val="00F8079D"/>
    <w:rsid w:val="00FA7C1B"/>
    <w:rsid w:val="00FB21A8"/>
    <w:rsid w:val="00FB7813"/>
    <w:rsid w:val="00FD3A9B"/>
    <w:rsid w:val="00FE249E"/>
    <w:rsid w:val="00FF6FF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9E9BD1"/>
  <w15:docId w15:val="{FEA8EC75-CDCA-44A5-B52D-C5CC12E9D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002F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BD504F"/>
    <w:pPr>
      <w:ind w:left="720"/>
      <w:contextualSpacing/>
    </w:pPr>
  </w:style>
  <w:style w:type="paragraph" w:styleId="Revisione">
    <w:name w:val="Revision"/>
    <w:hidden/>
    <w:uiPriority w:val="99"/>
    <w:semiHidden/>
    <w:rsid w:val="00D26CC6"/>
    <w:pPr>
      <w:spacing w:after="0" w:line="240" w:lineRule="auto"/>
    </w:pPr>
  </w:style>
  <w:style w:type="paragraph" w:styleId="Testofumetto">
    <w:name w:val="Balloon Text"/>
    <w:basedOn w:val="Normale"/>
    <w:link w:val="TestofumettoCarattere"/>
    <w:uiPriority w:val="99"/>
    <w:semiHidden/>
    <w:unhideWhenUsed/>
    <w:rsid w:val="00D26CC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26CC6"/>
    <w:rPr>
      <w:rFonts w:ascii="Tahoma" w:hAnsi="Tahoma" w:cs="Tahoma"/>
      <w:sz w:val="16"/>
      <w:szCs w:val="16"/>
    </w:rPr>
  </w:style>
  <w:style w:type="character" w:styleId="Rimandocommento">
    <w:name w:val="annotation reference"/>
    <w:basedOn w:val="Carpredefinitoparagrafo"/>
    <w:uiPriority w:val="99"/>
    <w:semiHidden/>
    <w:unhideWhenUsed/>
    <w:rsid w:val="00367B19"/>
    <w:rPr>
      <w:sz w:val="16"/>
      <w:szCs w:val="16"/>
    </w:rPr>
  </w:style>
  <w:style w:type="paragraph" w:styleId="Testocommento">
    <w:name w:val="annotation text"/>
    <w:basedOn w:val="Normale"/>
    <w:link w:val="TestocommentoCarattere"/>
    <w:uiPriority w:val="99"/>
    <w:semiHidden/>
    <w:unhideWhenUsed/>
    <w:rsid w:val="00367B1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367B19"/>
    <w:rPr>
      <w:sz w:val="20"/>
      <w:szCs w:val="20"/>
    </w:rPr>
  </w:style>
  <w:style w:type="paragraph" w:styleId="Soggettocommento">
    <w:name w:val="annotation subject"/>
    <w:basedOn w:val="Testocommento"/>
    <w:next w:val="Testocommento"/>
    <w:link w:val="SoggettocommentoCarattere"/>
    <w:uiPriority w:val="99"/>
    <w:semiHidden/>
    <w:unhideWhenUsed/>
    <w:rsid w:val="00367B19"/>
    <w:rPr>
      <w:b/>
      <w:bCs/>
    </w:rPr>
  </w:style>
  <w:style w:type="character" w:customStyle="1" w:styleId="SoggettocommentoCarattere">
    <w:name w:val="Soggetto commento Carattere"/>
    <w:basedOn w:val="TestocommentoCarattere"/>
    <w:link w:val="Soggettocommento"/>
    <w:uiPriority w:val="99"/>
    <w:semiHidden/>
    <w:rsid w:val="00367B1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3767</TotalTime>
  <Pages>8</Pages>
  <Words>4762</Words>
  <Characters>27147</Characters>
  <Application>Microsoft Office Word</Application>
  <DocSecurity>0</DocSecurity>
  <Lines>226</Lines>
  <Paragraphs>63</Paragraphs>
  <ScaleCrop>false</ScaleCrop>
  <HeadingPairs>
    <vt:vector size="2" baseType="variant">
      <vt:variant>
        <vt:lpstr>Titolo</vt:lpstr>
      </vt:variant>
      <vt:variant>
        <vt:i4>1</vt:i4>
      </vt:variant>
    </vt:vector>
  </HeadingPairs>
  <TitlesOfParts>
    <vt:vector size="1" baseType="lpstr">
      <vt:lpstr/>
    </vt:vector>
  </TitlesOfParts>
  <Company>Ministero delle Infrastrutture e dei Trasporti</Company>
  <LinksUpToDate>false</LinksUpToDate>
  <CharactersWithSpaces>31846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Francia Claudio</dc:creator>
  <cp:lastModifiedBy>Zacchi Giovanni</cp:lastModifiedBy>
  <cp:revision>25</cp:revision>
  <dcterms:created xsi:type="dcterms:W3CDTF">2021-02-02T18:06:00Z</dcterms:created>
  <dcterms:modified xsi:type="dcterms:W3CDTF">2022-05-06T08:23:00Z</dcterms:modified>
</cp:coreProperties>
</file>